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4" w:type="dxa"/>
        <w:tblLayout w:type="fixed"/>
        <w:tblCellMar>
          <w:left w:w="0" w:type="dxa"/>
          <w:right w:w="0" w:type="dxa"/>
        </w:tblCellMar>
        <w:tblLook w:val="01E0" w:firstRow="1" w:lastRow="1" w:firstColumn="1" w:lastColumn="1" w:noHBand="0" w:noVBand="0"/>
      </w:tblPr>
      <w:tblGrid>
        <w:gridCol w:w="4536"/>
        <w:gridCol w:w="2694"/>
        <w:gridCol w:w="2694"/>
      </w:tblGrid>
      <w:tr w:rsidRPr="008723DF" w:rsidR="00F46CF3" w:rsidTr="00162DBF" w14:paraId="5D3B7FB5" w14:textId="77777777">
        <w:trPr>
          <w:trHeight w:val="369" w:hRule="exact"/>
        </w:trPr>
        <w:sdt>
          <w:sdtPr>
            <w:alias w:val="Datum"/>
            <w:tag w:val="ccDatum"/>
            <w:id w:val="1138844323"/>
            <w:lock w:val="sdtLocked"/>
            <w:placeholder>
              <w:docPart w:val="4034CCC83FF0493C924C86546349F133"/>
            </w:placeholder>
          </w:sdtPr>
          <w:sdtEndPr/>
          <w:sdtContent>
            <w:tc>
              <w:tcPr>
                <w:tcW w:w="4536" w:type="dxa"/>
              </w:tcPr>
              <w:p w:rsidRPr="008723DF" w:rsidR="00F46CF3" w:rsidP="0061501B" w:rsidRDefault="008723DF" w14:paraId="44DE6FFB" w14:textId="256A982D">
                <w:r>
                  <w:t>2025-02-</w:t>
                </w:r>
                <w:r w:rsidR="00754757">
                  <w:t>2</w:t>
                </w:r>
                <w:r w:rsidR="00DF7B64">
                  <w:t>7</w:t>
                </w:r>
              </w:p>
            </w:tc>
          </w:sdtContent>
        </w:sdt>
        <w:tc>
          <w:tcPr>
            <w:tcW w:w="2694" w:type="dxa"/>
          </w:tcPr>
          <w:p w:rsidRPr="008723DF" w:rsidR="00F46CF3" w:rsidP="00B96F7E" w:rsidRDefault="00F46CF3" w14:paraId="247ABEEF" w14:textId="77777777">
            <w:pPr>
              <w:jc w:val="right"/>
            </w:pPr>
            <w:r w:rsidRPr="008723DF">
              <w:t xml:space="preserve">  </w:t>
            </w:r>
          </w:p>
        </w:tc>
        <w:tc>
          <w:tcPr>
            <w:tcW w:w="2694" w:type="dxa"/>
            <w:vMerge w:val="restart"/>
          </w:tcPr>
          <w:p w:rsidRPr="008723DF" w:rsidR="00F46CF3" w:rsidP="00FA6AF2" w:rsidRDefault="00DF7B64" w14:paraId="13FBACFF" w14:textId="6D2A7419">
            <w:pPr>
              <w:pStyle w:val="Dnr"/>
            </w:pPr>
            <w:sdt>
              <w:sdtPr>
                <w:alias w:val="DnrLedtext"/>
                <w:tag w:val="cc_DnrLedtext"/>
                <w:id w:val="-642587445"/>
                <w:lock w:val="sdtContentLocked"/>
                <w:placeholder>
                  <w:docPart w:val="EEC9BB0E37024E1494932BB225AFEF03"/>
                </w:placeholder>
              </w:sdtPr>
              <w:sdtEndPr/>
              <w:sdtContent>
                <w:r w:rsidR="008723DF">
                  <w:t xml:space="preserve">Dnr </w:t>
                </w:r>
              </w:sdtContent>
            </w:sdt>
            <w:sdt>
              <w:sdtPr>
                <w:alias w:val="Dnr"/>
                <w:tag w:val="RDF_Rubin_Dnr"/>
                <w:id w:val="-2134544162"/>
                <w:lock w:val="sdtContentLocked"/>
                <w:placeholder>
                  <w:docPart w:val="215AC802CD9D41CF8A9E903DB3117F0A"/>
                </w:placeholder>
                <w:dataBinding w:xpath="/ns0:properties[1]/documentManagement[1]/ns3:RDF_Rubin_Dnr[1]" w:storeItemID="{372EC7C8-69FA-43C4-98C5-99BE863819E2}"/>
                <w:text/>
              </w:sdtPr>
              <w:sdtEndPr/>
              <w:sdtContent>
                <w:r w:rsidRPr="008723DF" w:rsidR="008723DF">
                  <w:t>2025:90</w:t>
                </w:r>
              </w:sdtContent>
            </w:sdt>
          </w:p>
          <w:p w:rsidRPr="008723DF" w:rsidR="00D018A9" w:rsidP="001E6421" w:rsidRDefault="00D018A9" w14:paraId="392861C4" w14:textId="77777777">
            <w:pPr>
              <w:pStyle w:val="Dnr"/>
            </w:pPr>
          </w:p>
        </w:tc>
      </w:tr>
      <w:tr w:rsidRPr="008723DF" w:rsidR="00B81800" w:rsidTr="00872180" w14:paraId="15148BFA" w14:textId="77777777">
        <w:trPr>
          <w:trHeight w:val="1134" w:hRule="exact"/>
        </w:trPr>
        <w:tc>
          <w:tcPr>
            <w:tcW w:w="7230" w:type="dxa"/>
            <w:gridSpan w:val="2"/>
          </w:tcPr>
          <w:p w:rsidRPr="008723DF" w:rsidR="00B81800" w:rsidP="004F72CD" w:rsidRDefault="00DF7B64" w14:paraId="4E9F24FC" w14:textId="01787335">
            <w:pPr>
              <w:pStyle w:val="Dokumentrubrik"/>
            </w:pPr>
            <w:sdt>
              <w:sdtPr>
                <w:tag w:val="cc_RapportRut"/>
                <w:id w:val="-1217427827"/>
                <w:lock w:val="sdtLocked"/>
                <w:placeholder>
                  <w:docPart w:val="495BC025C4724D5C953DF3C9BCC3A2B8"/>
                </w:placeholder>
                <w:text/>
              </w:sdtPr>
              <w:sdtEndPr/>
              <w:sdtContent>
                <w:r w:rsidR="008723DF">
                  <w:t>Rapport från utredningstjänsten</w:t>
                </w:r>
              </w:sdtContent>
            </w:sdt>
          </w:p>
        </w:tc>
        <w:tc>
          <w:tcPr>
            <w:tcW w:w="2694" w:type="dxa"/>
            <w:vMerge/>
          </w:tcPr>
          <w:p w:rsidRPr="008723DF" w:rsidR="00B81800" w:rsidP="00964A93" w:rsidRDefault="00B81800" w14:paraId="4A5AB668" w14:textId="77777777"/>
        </w:tc>
      </w:tr>
      <w:tr w:rsidRPr="008723DF" w:rsidR="00F46CF3" w:rsidTr="00F0280B" w14:paraId="33B6533F" w14:textId="77777777">
        <w:trPr>
          <w:trHeight w:val="567"/>
        </w:trPr>
        <w:tc>
          <w:tcPr>
            <w:tcW w:w="7230" w:type="dxa"/>
            <w:gridSpan w:val="2"/>
            <w:vAlign w:val="bottom"/>
          </w:tcPr>
          <w:p w:rsidRPr="008723DF" w:rsidR="00F27A32" w:rsidP="00AD182C" w:rsidRDefault="00694D8B" w14:paraId="504AA147" w14:textId="02DA5B96">
            <w:pPr>
              <w:pStyle w:val="FormatmallPMrubrik14pt"/>
            </w:pPr>
            <w:r>
              <w:t>BALANSTJÄNSTER</w:t>
            </w:r>
          </w:p>
        </w:tc>
        <w:tc>
          <w:tcPr>
            <w:tcW w:w="2694" w:type="dxa"/>
            <w:vMerge/>
            <w:tcMar>
              <w:top w:w="113" w:type="dxa"/>
            </w:tcMar>
          </w:tcPr>
          <w:p w:rsidRPr="008723DF" w:rsidR="00F46CF3" w:rsidP="00162DBF" w:rsidRDefault="00F46CF3" w14:paraId="5A1A081E" w14:textId="77777777"/>
        </w:tc>
      </w:tr>
    </w:tbl>
    <w:p w:rsidRPr="00B207A5" w:rsidR="008723DF" w:rsidP="001D1E7D" w:rsidRDefault="00211BD1" w14:paraId="4D2C946B" w14:textId="36EECF91">
      <w:pPr>
        <w:rPr>
          <w:i/>
          <w:iCs/>
        </w:rPr>
      </w:pPr>
      <w:bookmarkStart w:name="_Hlk191458841" w:id="0"/>
      <w:r w:rsidRPr="00B207A5">
        <w:rPr>
          <w:i/>
          <w:iCs/>
        </w:rPr>
        <w:t xml:space="preserve">Uppdraget handlar om hur stora kostnader </w:t>
      </w:r>
      <w:proofErr w:type="gramStart"/>
      <w:r w:rsidRPr="00B207A5">
        <w:rPr>
          <w:i/>
          <w:iCs/>
        </w:rPr>
        <w:t>Svenska</w:t>
      </w:r>
      <w:proofErr w:type="gramEnd"/>
      <w:r w:rsidRPr="00B207A5">
        <w:rPr>
          <w:i/>
          <w:iCs/>
        </w:rPr>
        <w:t xml:space="preserve"> kraftnät har för de balanstjänster som man har inrättat för att säkerställa balansen i elsystemet. Uppgifterna önskas per kraftslag. Även en beskrivning av denna marknad önskas. </w:t>
      </w:r>
    </w:p>
    <w:p w:rsidR="00211BD1" w:rsidP="001D1E7D" w:rsidRDefault="00211BD1" w14:paraId="029DCF03" w14:textId="65176261"/>
    <w:p w:rsidR="00532056" w:rsidP="00532056" w:rsidRDefault="00532056" w14:paraId="586FB3FF" w14:textId="7B872C16">
      <w:pPr>
        <w:pStyle w:val="Rubrik1"/>
      </w:pPr>
      <w:bookmarkStart w:name="_Toc191458642" w:id="1"/>
      <w:r>
        <w:t>Sammanfattning</w:t>
      </w:r>
      <w:bookmarkEnd w:id="1"/>
    </w:p>
    <w:p w:rsidR="0005459E" w:rsidP="0005459E" w:rsidRDefault="0005459E" w14:paraId="02858B13" w14:textId="208F2E30">
      <w:r>
        <w:t xml:space="preserve">För att elen ska kunna levereras utan avbrott måste elproduktionen och elförbrukningen alltid vara i balans. Svenska kraftnät (SVK) ansvarar för att hålla denna balans och se till att frekvensen i elsystemet ligger på 50 Hz. På balansmarknaden säkerställs att det alltid finns </w:t>
      </w:r>
      <w:proofErr w:type="spellStart"/>
      <w:r>
        <w:t>elreserver</w:t>
      </w:r>
      <w:proofErr w:type="spellEnd"/>
      <w:r>
        <w:t xml:space="preserve"> tillgängliga, dygnet runt, året runt. Balansmarknaden är en del av elmarknaden och har utvecklats över tid. Idag deltar de flesta kraftslag, inklusive elförbrukning, i handeln med balanstjänster.</w:t>
      </w:r>
    </w:p>
    <w:p w:rsidRPr="00306D76" w:rsidR="00DC0CAD" w:rsidP="0005459E" w:rsidRDefault="0005459E" w14:paraId="72353368" w14:textId="581C9F85">
      <w:r>
        <w:t>Reglerna för balansmarknaden styrs av både europeisk och svensk lagstiftning, och Energimarknadsinspektionen ansvarar för att godkänna marknadens utformning. Balanstjänster handlas huvudsakligen genom dagliga auktioner i kombination med marknader där el aktiveras vid behov.</w:t>
      </w:r>
      <w:r w:rsidR="006A6471">
        <w:t xml:space="preserve"> </w:t>
      </w:r>
      <w:r>
        <w:t>Många balansmarknader är nordiska, vilket innebär att alla systemansvariga i Norden, inklusive SVK, köper balanstjänster. De som säljer dessa tjänster är företag och aktörer som har möjlighet att bidra till att hålla elsystemet i balans.</w:t>
      </w:r>
      <w:r w:rsidR="005767EE">
        <w:t xml:space="preserve"> </w:t>
      </w:r>
      <w:r w:rsidRPr="00306D76" w:rsidR="00DC0CAD">
        <w:t>Huvudsakliga balanstjänster</w:t>
      </w:r>
      <w:r w:rsidRPr="001E6B71" w:rsidR="00DC0CAD">
        <w:t xml:space="preserve"> är följande</w:t>
      </w:r>
      <w:r w:rsidRPr="00306D76" w:rsidR="00DC0CAD">
        <w:t>:</w:t>
      </w:r>
    </w:p>
    <w:p w:rsidRPr="00306D76" w:rsidR="00DC0CAD" w:rsidP="00DC0CAD" w:rsidRDefault="00DC0CAD" w14:paraId="7E021124" w14:textId="77777777">
      <w:pPr>
        <w:numPr>
          <w:ilvl w:val="0"/>
          <w:numId w:val="33"/>
        </w:numPr>
        <w:tabs>
          <w:tab w:val="clear" w:pos="284"/>
        </w:tabs>
        <w:spacing w:before="100" w:beforeAutospacing="1" w:after="100" w:afterAutospacing="1" w:line="240" w:lineRule="auto"/>
      </w:pPr>
      <w:r w:rsidRPr="00306D76">
        <w:t>Frekvenshållningsreserver (FCR): Korrigerar snabbt obalanser, antingen vid normala variationer (FCR-N) eller större störningar (FCR-D).</w:t>
      </w:r>
    </w:p>
    <w:p w:rsidRPr="00306D76" w:rsidR="00DC0CAD" w:rsidP="00DC0CAD" w:rsidRDefault="00DC0CAD" w14:paraId="305895BA" w14:textId="77777777">
      <w:pPr>
        <w:numPr>
          <w:ilvl w:val="0"/>
          <w:numId w:val="33"/>
        </w:numPr>
        <w:tabs>
          <w:tab w:val="clear" w:pos="284"/>
        </w:tabs>
        <w:spacing w:before="100" w:beforeAutospacing="1" w:after="100" w:afterAutospacing="1" w:line="240" w:lineRule="auto"/>
      </w:pPr>
      <w:r w:rsidRPr="00306D76">
        <w:t>Automatisk frekvensåterställningsreserv (</w:t>
      </w:r>
      <w:proofErr w:type="spellStart"/>
      <w:r w:rsidRPr="00306D76">
        <w:t>aFRR</w:t>
      </w:r>
      <w:proofErr w:type="spellEnd"/>
      <w:r w:rsidRPr="00306D76">
        <w:t>): Stabiliserar systemet automatiskt efter större obalanser.</w:t>
      </w:r>
    </w:p>
    <w:p w:rsidRPr="00306D76" w:rsidR="00DC0CAD" w:rsidP="00DC0CAD" w:rsidRDefault="00DC0CAD" w14:paraId="5174DFF4" w14:textId="77777777">
      <w:pPr>
        <w:numPr>
          <w:ilvl w:val="0"/>
          <w:numId w:val="33"/>
        </w:numPr>
        <w:tabs>
          <w:tab w:val="clear" w:pos="284"/>
        </w:tabs>
        <w:spacing w:before="100" w:beforeAutospacing="1" w:after="100" w:afterAutospacing="1" w:line="240" w:lineRule="auto"/>
      </w:pPr>
      <w:r w:rsidRPr="00306D76">
        <w:t>Manuell frekvensåterställningsreserv (</w:t>
      </w:r>
      <w:proofErr w:type="spellStart"/>
      <w:r w:rsidRPr="00306D76">
        <w:t>mFRR</w:t>
      </w:r>
      <w:proofErr w:type="spellEnd"/>
      <w:r w:rsidRPr="00306D76">
        <w:t>): Aktiveras manuellt vid stora frekvensavvikelser.</w:t>
      </w:r>
    </w:p>
    <w:p w:rsidRPr="00306D76" w:rsidR="00DC0CAD" w:rsidP="004E5606" w:rsidRDefault="00DC0CAD" w14:paraId="0BC07640" w14:textId="39CB0624">
      <w:pPr>
        <w:numPr>
          <w:ilvl w:val="0"/>
          <w:numId w:val="33"/>
        </w:numPr>
        <w:tabs>
          <w:tab w:val="clear" w:pos="284"/>
        </w:tabs>
        <w:spacing w:before="100" w:beforeAutospacing="1" w:after="100" w:afterAutospacing="1" w:line="240" w:lineRule="auto"/>
      </w:pPr>
      <w:r w:rsidRPr="00306D76">
        <w:t xml:space="preserve">Strategisk reserv (upphör </w:t>
      </w:r>
      <w:r w:rsidR="004E5606">
        <w:t xml:space="preserve">mars </w:t>
      </w:r>
      <w:r w:rsidRPr="00306D76">
        <w:t>2025): Extra kapacitet för kritiska vintersituationer.</w:t>
      </w:r>
    </w:p>
    <w:p w:rsidR="00DC0CAD" w:rsidP="00256B1A" w:rsidRDefault="00DC0CAD" w14:paraId="483E59E7" w14:textId="77777777">
      <w:pPr>
        <w:numPr>
          <w:ilvl w:val="0"/>
          <w:numId w:val="33"/>
        </w:numPr>
        <w:tabs>
          <w:tab w:val="clear" w:pos="284"/>
        </w:tabs>
        <w:spacing w:before="100" w:beforeAutospacing="1" w:after="100" w:afterAutospacing="1" w:line="240" w:lineRule="auto"/>
      </w:pPr>
      <w:r w:rsidRPr="00306D76">
        <w:t>Balansmarknad: Aktörer kan justera obalanser genom handel i realtid.</w:t>
      </w:r>
      <w:r>
        <w:t xml:space="preserve"> </w:t>
      </w:r>
    </w:p>
    <w:p w:rsidRPr="00306D76" w:rsidR="00DC0CAD" w:rsidP="00DC0CAD" w:rsidRDefault="00DC0CAD" w14:paraId="1CB1B6A8" w14:textId="00689C3C">
      <w:pPr>
        <w:numPr>
          <w:ilvl w:val="0"/>
          <w:numId w:val="33"/>
        </w:numPr>
        <w:tabs>
          <w:tab w:val="clear" w:pos="284"/>
        </w:tabs>
        <w:spacing w:before="100" w:beforeAutospacing="1" w:line="240" w:lineRule="auto"/>
      </w:pPr>
      <w:r w:rsidRPr="00306D76">
        <w:t>Systemtjänster för spänning och stabilitet: Upphandling av tjänster för att säkerställa stabilitet i nätet.</w:t>
      </w:r>
    </w:p>
    <w:p w:rsidRPr="002D15F2" w:rsidR="00DC0CAD" w:rsidP="00DC0CAD" w:rsidRDefault="00DC0CAD" w14:paraId="68B91EE0" w14:textId="2B336879">
      <w:pPr>
        <w:spacing w:after="0"/>
      </w:pPr>
      <w:r w:rsidRPr="001E6B71">
        <w:lastRenderedPageBreak/>
        <w:t>Kostnaderna för att skapa balans i elsystemet har s</w:t>
      </w:r>
      <w:r>
        <w:t>edan år</w:t>
      </w:r>
      <w:r w:rsidRPr="001E6B71">
        <w:t xml:space="preserve"> 20</w:t>
      </w:r>
      <w:r>
        <w:t xml:space="preserve">19 ökat från cirka 1,4 miljarder kronor till cirka 5,4 miljarder kronor år 2024 </w:t>
      </w:r>
      <w:r w:rsidRPr="001E6B71">
        <w:t xml:space="preserve">enligt </w:t>
      </w:r>
      <w:proofErr w:type="gramStart"/>
      <w:r w:rsidRPr="001E6B71">
        <w:t>Svenska</w:t>
      </w:r>
      <w:proofErr w:type="gramEnd"/>
      <w:r w:rsidRPr="001E6B71">
        <w:t xml:space="preserve"> kraftnät. </w:t>
      </w:r>
      <w:r w:rsidR="003F14C3">
        <w:t>Kostnadsökningarna</w:t>
      </w:r>
      <w:r w:rsidRPr="009656AC">
        <w:t xml:space="preserve"> beror </w:t>
      </w:r>
      <w:r w:rsidRPr="003F14C3" w:rsidR="003F14C3">
        <w:t>främst på grund av högre efterfrågan och stigande priser</w:t>
      </w:r>
      <w:r w:rsidR="003F14C3">
        <w:t>.</w:t>
      </w:r>
      <w:r w:rsidR="00E841A1">
        <w:t xml:space="preserve"> Denna kostnad finns inte tillgänglig per kraftslag.</w:t>
      </w:r>
    </w:p>
    <w:p w:rsidR="00532056" w:rsidP="001D1E7D" w:rsidRDefault="00532056" w14:paraId="086FEC42" w14:textId="77777777"/>
    <w:p w:rsidR="008723DF" w:rsidP="00532056" w:rsidRDefault="00532056" w14:paraId="2EA6C110" w14:textId="20144CE6">
      <w:pPr>
        <w:pStyle w:val="Rubrik1"/>
      </w:pPr>
      <w:bookmarkStart w:name="_Toc191458643" w:id="2"/>
      <w:r>
        <w:t>Inledning</w:t>
      </w:r>
      <w:bookmarkEnd w:id="2"/>
    </w:p>
    <w:p w:rsidR="00532056" w:rsidP="00532056" w:rsidRDefault="00B207A5" w14:paraId="45D6E8AC" w14:textId="14FECDAF">
      <w:r>
        <w:t>Denna rapport innehåller en kort beskrivning av ba</w:t>
      </w:r>
      <w:r w:rsidR="003A12F7">
        <w:t>lan</w:t>
      </w:r>
      <w:r>
        <w:t>stjänster</w:t>
      </w:r>
      <w:r w:rsidR="003A12F7">
        <w:t xml:space="preserve"> och </w:t>
      </w:r>
      <w:r>
        <w:t>kapacitetsmarkn</w:t>
      </w:r>
      <w:r w:rsidR="0040702A">
        <w:t>a</w:t>
      </w:r>
      <w:r>
        <w:t xml:space="preserve">den (i bilaga mer i detalj vad de olika tjänsterna innebär) och </w:t>
      </w:r>
      <w:proofErr w:type="gramStart"/>
      <w:r w:rsidR="003A12F7">
        <w:t>Svenska</w:t>
      </w:r>
      <w:proofErr w:type="gramEnd"/>
      <w:r w:rsidR="003A12F7">
        <w:t xml:space="preserve"> kraftnäts </w:t>
      </w:r>
      <w:r>
        <w:t>kostnader</w:t>
      </w:r>
      <w:r w:rsidR="003A12F7">
        <w:t xml:space="preserve"> för dessa.</w:t>
      </w:r>
    </w:p>
    <w:p w:rsidR="00105A9E" w:rsidP="00105A9E" w:rsidRDefault="00105A9E" w14:paraId="647381AE" w14:textId="25AFB79B">
      <w:r w:rsidRPr="002A4D8E">
        <w:t>Kraftbolagens ersättning för sina balanstjänster är inte offentligt tillgänglig, eftersom sådana finansiella detaljer är konfidentiella och publiceras</w:t>
      </w:r>
      <w:r w:rsidRPr="00105A9E">
        <w:t xml:space="preserve"> </w:t>
      </w:r>
      <w:r>
        <w:t xml:space="preserve">således </w:t>
      </w:r>
      <w:r w:rsidRPr="002A4D8E">
        <w:t>inte.</w:t>
      </w:r>
    </w:p>
    <w:p w:rsidR="002A4D8E" w:rsidP="00532056" w:rsidRDefault="002A4D8E" w14:paraId="56748E21" w14:textId="77777777"/>
    <w:p w:rsidRPr="00532056" w:rsidR="00532056" w:rsidP="00532056" w:rsidRDefault="00532056" w14:paraId="4CDF7310" w14:textId="7CDB1491">
      <w:pPr>
        <w:pStyle w:val="Rubrik1"/>
      </w:pPr>
      <w:bookmarkStart w:name="_Toc191458644" w:id="3"/>
      <w:r>
        <w:t>Balanstjänster</w:t>
      </w:r>
      <w:r>
        <w:rPr>
          <w:rStyle w:val="Fotnotsreferens"/>
        </w:rPr>
        <w:footnoteReference w:id="2"/>
      </w:r>
      <w:r w:rsidR="00231E41">
        <w:t xml:space="preserve"> (kapacitetsmarknaden)</w:t>
      </w:r>
      <w:bookmarkEnd w:id="3"/>
    </w:p>
    <w:p w:rsidR="00B902EA" w:rsidP="00B902EA" w:rsidRDefault="00B902EA" w14:paraId="2BFA4A4E" w14:textId="2BF2D6F2">
      <w:r>
        <w:t>Elproduktionen och elförbrukningen måste alltid vara i balans för att elen ska kunna levereras utan avbrott. På den största delen av elmarknaden, spotmarknaden (</w:t>
      </w:r>
      <w:proofErr w:type="spellStart"/>
      <w:r>
        <w:t>day-ahead</w:t>
      </w:r>
      <w:proofErr w:type="spellEnd"/>
      <w:r>
        <w:t>), planeras elhandeln i timme för timme. Det innebär att produktion och förbrukning kan skilja sig åt inom en timme. För att hantera dessa skillnader finns balansmarknaderna. Där säkerställs att det alltid finns reserver av el tillgängliga, dygnet runt, året runt. Svenska kraftnät (SVK), som ansvarar för det svenska stamnätet, utformar dessa marknader enligt nationella och europeiska regler. Energimarknadsinspektionen godkänner hur marknaderna utformas.</w:t>
      </w:r>
    </w:p>
    <w:p w:rsidR="00B902EA" w:rsidP="00B902EA" w:rsidRDefault="00B902EA" w14:paraId="41F0EF81" w14:textId="4FD53676">
      <w:r>
        <w:t>Balansmarknaderna fungerar genom dagliga auktioner och genom att el aktiveras i realtid vid behov. De flesta av dessa marknader är nordiska, där transmissionsnätsoperatörerna (</w:t>
      </w:r>
      <w:proofErr w:type="spellStart"/>
      <w:r>
        <w:t>TSO:er</w:t>
      </w:r>
      <w:proofErr w:type="spellEnd"/>
      <w:r>
        <w:t>) i de nordiska länderna både köper och säljer balanstjänster. Företag som levererar balanstjänster kallas BSP (</w:t>
      </w:r>
      <w:proofErr w:type="spellStart"/>
      <w:r>
        <w:t>Balancing</w:t>
      </w:r>
      <w:proofErr w:type="spellEnd"/>
      <w:r>
        <w:t xml:space="preserve"> Service </w:t>
      </w:r>
      <w:proofErr w:type="spellStart"/>
      <w:r>
        <w:t>Providers</w:t>
      </w:r>
      <w:proofErr w:type="spellEnd"/>
      <w:r>
        <w:t>). I bilagan beskrivs de olika balanstjänsterna kortfattat. Alla typer av kraftslag, inklusive elförbrukning, kan delta på balansmarknaden. Svenska kraftnät har inga särskilda tjänster för enskilda kraftslag utan använder de reserver som finns tillgängliga. Obalanser kan uppstå av flera skäl, till exempel varmare väder som minskar elförbrukningen, mindre vindkraftsproduktion än beräknat eller driftstörningar i ett kärnkraftverk eller en elledning.</w:t>
      </w:r>
    </w:p>
    <w:p w:rsidR="00B902EA" w:rsidP="00B902EA" w:rsidRDefault="00B902EA" w14:paraId="53210EF7" w14:textId="77777777">
      <w:r>
        <w:t>Svenska kraftnät hanterar inte varje enskild obalans, utan ser till helheten inom ett elområde eller större regioner om el kan överföras mellan områden.</w:t>
      </w:r>
    </w:p>
    <w:p w:rsidR="00B902EA" w:rsidP="00B902EA" w:rsidRDefault="00B902EA" w14:paraId="3647F12C" w14:textId="77777777"/>
    <w:p w:rsidR="00B902EA" w:rsidP="00B902EA" w:rsidRDefault="00B902EA" w14:paraId="5C0D31EB" w14:textId="00FBFDDA">
      <w:r>
        <w:lastRenderedPageBreak/>
        <w:t>Kostnaden för att hålla elsystemet i balans täcks genom avgifter i transmissionsnätstariffen, balansansvarsavgifter och obalansprissättning för aktörer som inte lyckas hålla sin balans.</w:t>
      </w:r>
    </w:p>
    <w:p w:rsidR="00B902EA" w:rsidP="00532056" w:rsidRDefault="00B902EA" w14:paraId="336DEEB3" w14:textId="77777777"/>
    <w:p w:rsidR="00BD1F3A" w:rsidP="00BC72E1" w:rsidRDefault="00BC72E1" w14:paraId="591C19A8" w14:textId="28BBCB72">
      <w:pPr>
        <w:pStyle w:val="Rubrik2"/>
      </w:pPr>
      <w:bookmarkStart w:name="_Toc191458645" w:id="4"/>
      <w:r>
        <w:t>Kostnader för balanstjänster</w:t>
      </w:r>
      <w:r w:rsidR="00231E41">
        <w:t xml:space="preserve"> (kapacitetsmarknaden)</w:t>
      </w:r>
      <w:bookmarkEnd w:id="4"/>
    </w:p>
    <w:p w:rsidR="00090976" w:rsidP="00090976" w:rsidRDefault="00090976" w14:paraId="3B0456B7" w14:textId="3BBCCA9F">
      <w:r>
        <w:t>Balanseringskostnaderna i elsystemet har ökat sedan 2019, främst på grund av högre efterfrågan och stigande priser. Samtidigt har ökad konkurrens på vissa områden börjat stabilisera priserna. År 2019 uppgick kostnaderna till cirka 1,4 miljarder kronor. Under 2022 och 2023 steg de kraftigt till cirka 5,8 miljarder kronor, men under 2024 har de sjunkit något till cirka 5,4 miljarder kronor.</w:t>
      </w:r>
    </w:p>
    <w:p w:rsidR="00090976" w:rsidP="00090976" w:rsidRDefault="00090976" w14:paraId="54B60AF4" w14:textId="66CF20A2"/>
    <w:p w:rsidRPr="0099378B" w:rsidR="00090976" w:rsidP="00090976" w:rsidRDefault="00090976" w14:paraId="015E6D0A" w14:textId="77777777">
      <w:pPr>
        <w:pStyle w:val="Tabell-Underrubrik"/>
        <w:rPr>
          <w:b/>
          <w:bCs/>
          <w:sz w:val="22"/>
          <w:szCs w:val="22"/>
        </w:rPr>
      </w:pPr>
      <w:r w:rsidRPr="0099378B">
        <w:rPr>
          <w:b/>
          <w:bCs/>
          <w:sz w:val="22"/>
          <w:szCs w:val="22"/>
        </w:rPr>
        <w:t xml:space="preserve">Tabell 1: </w:t>
      </w:r>
      <w:r w:rsidRPr="00BC293F">
        <w:rPr>
          <w:b/>
          <w:bCs/>
          <w:sz w:val="22"/>
          <w:szCs w:val="22"/>
        </w:rPr>
        <w:t>Kostnader kapacitetsmarknader</w:t>
      </w:r>
      <w:r w:rsidRPr="0099378B">
        <w:rPr>
          <w:b/>
          <w:bCs/>
          <w:sz w:val="22"/>
          <w:szCs w:val="22"/>
        </w:rPr>
        <w:t xml:space="preserve"> 2019–2024,</w:t>
      </w:r>
      <w:r w:rsidRPr="00BC293F">
        <w:rPr>
          <w:b/>
          <w:bCs/>
          <w:sz w:val="22"/>
          <w:szCs w:val="22"/>
        </w:rPr>
        <w:t xml:space="preserve"> miljoner </w:t>
      </w:r>
      <w:r w:rsidRPr="0099378B">
        <w:rPr>
          <w:b/>
          <w:bCs/>
          <w:sz w:val="22"/>
          <w:szCs w:val="22"/>
        </w:rPr>
        <w:t>kronor</w:t>
      </w:r>
    </w:p>
    <w:tbl>
      <w:tblPr>
        <w:tblW w:w="6878" w:type="dxa"/>
        <w:tblCellMar>
          <w:left w:w="70" w:type="dxa"/>
          <w:right w:w="70" w:type="dxa"/>
        </w:tblCellMar>
        <w:tblLook w:val="04A0" w:firstRow="1" w:lastRow="0" w:firstColumn="1" w:lastColumn="0" w:noHBand="0" w:noVBand="1"/>
      </w:tblPr>
      <w:tblGrid>
        <w:gridCol w:w="1918"/>
        <w:gridCol w:w="804"/>
        <w:gridCol w:w="804"/>
        <w:gridCol w:w="804"/>
        <w:gridCol w:w="804"/>
        <w:gridCol w:w="804"/>
        <w:gridCol w:w="940"/>
      </w:tblGrid>
      <w:tr w:rsidRPr="0099378B" w:rsidR="00090976" w:rsidTr="001C31F3" w14:paraId="3F0FA6FA" w14:textId="77777777">
        <w:trPr>
          <w:trHeight w:val="285"/>
        </w:trPr>
        <w:tc>
          <w:tcPr>
            <w:tcW w:w="1918" w:type="dxa"/>
            <w:tcBorders>
              <w:top w:val="single" w:color="auto" w:sz="4" w:space="0"/>
              <w:left w:val="nil"/>
              <w:bottom w:val="single" w:color="auto" w:sz="4" w:space="0"/>
              <w:right w:val="nil"/>
            </w:tcBorders>
            <w:shd w:val="clear" w:color="auto" w:fill="auto"/>
            <w:noWrap/>
            <w:vAlign w:val="bottom"/>
            <w:hideMark/>
          </w:tcPr>
          <w:p w:rsidRPr="00BC293F" w:rsidR="00090976" w:rsidP="001C31F3" w:rsidRDefault="00090976" w14:paraId="1E89D88D" w14:textId="77777777">
            <w:pPr>
              <w:spacing w:after="0"/>
              <w:rPr>
                <w:b/>
                <w:bCs/>
                <w:color w:val="000000" w:themeColor="text1"/>
              </w:rPr>
            </w:pPr>
          </w:p>
        </w:tc>
        <w:tc>
          <w:tcPr>
            <w:tcW w:w="804" w:type="dxa"/>
            <w:tcBorders>
              <w:top w:val="single" w:color="auto" w:sz="4" w:space="0"/>
              <w:left w:val="nil"/>
              <w:bottom w:val="single" w:color="auto" w:sz="4" w:space="0"/>
              <w:right w:val="nil"/>
            </w:tcBorders>
            <w:shd w:val="clear" w:color="auto" w:fill="auto"/>
            <w:noWrap/>
            <w:vAlign w:val="center"/>
            <w:hideMark/>
          </w:tcPr>
          <w:p w:rsidRPr="00BC293F" w:rsidR="00090976" w:rsidP="001C31F3" w:rsidRDefault="00090976" w14:paraId="29454A61" w14:textId="77777777">
            <w:pPr>
              <w:spacing w:after="0"/>
              <w:jc w:val="right"/>
              <w:rPr>
                <w:b/>
                <w:bCs/>
                <w:color w:val="000000" w:themeColor="text1"/>
              </w:rPr>
            </w:pPr>
            <w:r w:rsidRPr="00BC293F">
              <w:rPr>
                <w:b/>
                <w:bCs/>
                <w:color w:val="000000" w:themeColor="text1"/>
              </w:rPr>
              <w:t>2019</w:t>
            </w:r>
          </w:p>
        </w:tc>
        <w:tc>
          <w:tcPr>
            <w:tcW w:w="804" w:type="dxa"/>
            <w:tcBorders>
              <w:top w:val="single" w:color="auto" w:sz="4" w:space="0"/>
              <w:left w:val="nil"/>
              <w:bottom w:val="single" w:color="auto" w:sz="4" w:space="0"/>
              <w:right w:val="nil"/>
            </w:tcBorders>
            <w:shd w:val="clear" w:color="auto" w:fill="auto"/>
            <w:noWrap/>
            <w:vAlign w:val="center"/>
            <w:hideMark/>
          </w:tcPr>
          <w:p w:rsidRPr="00BC293F" w:rsidR="00090976" w:rsidP="001C31F3" w:rsidRDefault="00090976" w14:paraId="62433035" w14:textId="77777777">
            <w:pPr>
              <w:spacing w:after="0"/>
              <w:jc w:val="right"/>
              <w:rPr>
                <w:b/>
                <w:bCs/>
                <w:color w:val="000000" w:themeColor="text1"/>
              </w:rPr>
            </w:pPr>
            <w:r w:rsidRPr="00BC293F">
              <w:rPr>
                <w:b/>
                <w:bCs/>
                <w:color w:val="000000" w:themeColor="text1"/>
              </w:rPr>
              <w:t>2020</w:t>
            </w:r>
          </w:p>
        </w:tc>
        <w:tc>
          <w:tcPr>
            <w:tcW w:w="804" w:type="dxa"/>
            <w:tcBorders>
              <w:top w:val="single" w:color="auto" w:sz="4" w:space="0"/>
              <w:left w:val="nil"/>
              <w:bottom w:val="single" w:color="auto" w:sz="4" w:space="0"/>
              <w:right w:val="nil"/>
            </w:tcBorders>
            <w:shd w:val="clear" w:color="auto" w:fill="auto"/>
            <w:noWrap/>
            <w:vAlign w:val="center"/>
            <w:hideMark/>
          </w:tcPr>
          <w:p w:rsidRPr="00BC293F" w:rsidR="00090976" w:rsidP="001C31F3" w:rsidRDefault="00090976" w14:paraId="469D55F4" w14:textId="77777777">
            <w:pPr>
              <w:spacing w:after="0"/>
              <w:jc w:val="right"/>
              <w:rPr>
                <w:b/>
                <w:bCs/>
                <w:color w:val="000000" w:themeColor="text1"/>
              </w:rPr>
            </w:pPr>
            <w:r w:rsidRPr="00BC293F">
              <w:rPr>
                <w:b/>
                <w:bCs/>
                <w:color w:val="000000" w:themeColor="text1"/>
              </w:rPr>
              <w:t>2021</w:t>
            </w:r>
          </w:p>
        </w:tc>
        <w:tc>
          <w:tcPr>
            <w:tcW w:w="804" w:type="dxa"/>
            <w:tcBorders>
              <w:top w:val="single" w:color="auto" w:sz="4" w:space="0"/>
              <w:left w:val="nil"/>
              <w:bottom w:val="single" w:color="auto" w:sz="4" w:space="0"/>
              <w:right w:val="nil"/>
            </w:tcBorders>
            <w:shd w:val="clear" w:color="auto" w:fill="auto"/>
            <w:noWrap/>
            <w:vAlign w:val="center"/>
            <w:hideMark/>
          </w:tcPr>
          <w:p w:rsidRPr="00BC293F" w:rsidR="00090976" w:rsidP="001C31F3" w:rsidRDefault="00090976" w14:paraId="1CF75AFE" w14:textId="77777777">
            <w:pPr>
              <w:spacing w:after="0"/>
              <w:jc w:val="right"/>
              <w:rPr>
                <w:b/>
                <w:bCs/>
                <w:color w:val="000000" w:themeColor="text1"/>
              </w:rPr>
            </w:pPr>
            <w:r w:rsidRPr="00BC293F">
              <w:rPr>
                <w:b/>
                <w:bCs/>
                <w:color w:val="000000" w:themeColor="text1"/>
              </w:rPr>
              <w:t>2022</w:t>
            </w:r>
          </w:p>
        </w:tc>
        <w:tc>
          <w:tcPr>
            <w:tcW w:w="804" w:type="dxa"/>
            <w:tcBorders>
              <w:top w:val="single" w:color="auto" w:sz="4" w:space="0"/>
              <w:left w:val="nil"/>
              <w:bottom w:val="single" w:color="auto" w:sz="4" w:space="0"/>
              <w:right w:val="nil"/>
            </w:tcBorders>
            <w:shd w:val="clear" w:color="auto" w:fill="auto"/>
            <w:noWrap/>
            <w:vAlign w:val="center"/>
            <w:hideMark/>
          </w:tcPr>
          <w:p w:rsidRPr="00BC293F" w:rsidR="00090976" w:rsidP="001C31F3" w:rsidRDefault="00090976" w14:paraId="586A8495" w14:textId="77777777">
            <w:pPr>
              <w:spacing w:after="0"/>
              <w:jc w:val="right"/>
              <w:rPr>
                <w:b/>
                <w:bCs/>
                <w:color w:val="000000" w:themeColor="text1"/>
              </w:rPr>
            </w:pPr>
            <w:r w:rsidRPr="00BC293F">
              <w:rPr>
                <w:b/>
                <w:bCs/>
                <w:color w:val="000000" w:themeColor="text1"/>
              </w:rPr>
              <w:t>2023</w:t>
            </w:r>
          </w:p>
        </w:tc>
        <w:tc>
          <w:tcPr>
            <w:tcW w:w="940" w:type="dxa"/>
            <w:tcBorders>
              <w:top w:val="single" w:color="auto" w:sz="4" w:space="0"/>
              <w:left w:val="nil"/>
              <w:bottom w:val="single" w:color="auto" w:sz="4" w:space="0"/>
              <w:right w:val="nil"/>
            </w:tcBorders>
            <w:shd w:val="clear" w:color="auto" w:fill="auto"/>
            <w:noWrap/>
            <w:vAlign w:val="center"/>
            <w:hideMark/>
          </w:tcPr>
          <w:p w:rsidRPr="00BC293F" w:rsidR="00090976" w:rsidP="001C31F3" w:rsidRDefault="00090976" w14:paraId="096D3ED2" w14:textId="77777777">
            <w:pPr>
              <w:spacing w:after="0"/>
              <w:jc w:val="right"/>
              <w:rPr>
                <w:b/>
                <w:bCs/>
                <w:color w:val="000000" w:themeColor="text1"/>
              </w:rPr>
            </w:pPr>
            <w:r w:rsidRPr="00BC293F">
              <w:rPr>
                <w:b/>
                <w:bCs/>
                <w:color w:val="000000" w:themeColor="text1"/>
              </w:rPr>
              <w:t>2024*</w:t>
            </w:r>
          </w:p>
        </w:tc>
      </w:tr>
      <w:tr w:rsidRPr="0099378B" w:rsidR="00090976" w:rsidTr="001C31F3" w14:paraId="29C9ADCE" w14:textId="77777777">
        <w:trPr>
          <w:trHeight w:val="300"/>
        </w:trPr>
        <w:tc>
          <w:tcPr>
            <w:tcW w:w="1918" w:type="dxa"/>
            <w:tcBorders>
              <w:top w:val="single" w:color="auto" w:sz="4" w:space="0"/>
              <w:left w:val="nil"/>
              <w:bottom w:val="nil"/>
              <w:right w:val="nil"/>
            </w:tcBorders>
            <w:shd w:val="clear" w:color="auto" w:fill="auto"/>
            <w:noWrap/>
            <w:vAlign w:val="bottom"/>
            <w:hideMark/>
          </w:tcPr>
          <w:p w:rsidRPr="00BC293F" w:rsidR="00090976" w:rsidP="001C31F3" w:rsidRDefault="00090976" w14:paraId="5685907F" w14:textId="77777777">
            <w:pPr>
              <w:spacing w:after="0"/>
              <w:rPr>
                <w:color w:val="000000" w:themeColor="text1"/>
              </w:rPr>
            </w:pPr>
            <w:r w:rsidRPr="00BC293F">
              <w:rPr>
                <w:color w:val="000000" w:themeColor="text1"/>
              </w:rPr>
              <w:t>FFR</w:t>
            </w:r>
          </w:p>
        </w:tc>
        <w:tc>
          <w:tcPr>
            <w:tcW w:w="804" w:type="dxa"/>
            <w:tcBorders>
              <w:top w:val="single" w:color="auto" w:sz="4" w:space="0"/>
              <w:left w:val="nil"/>
              <w:bottom w:val="nil"/>
              <w:right w:val="nil"/>
            </w:tcBorders>
            <w:shd w:val="clear" w:color="auto" w:fill="auto"/>
            <w:noWrap/>
            <w:vAlign w:val="center"/>
            <w:hideMark/>
          </w:tcPr>
          <w:p w:rsidRPr="00BC293F" w:rsidR="00090976" w:rsidP="001C31F3" w:rsidRDefault="00090976" w14:paraId="5D054382" w14:textId="77777777">
            <w:pPr>
              <w:spacing w:after="0"/>
              <w:jc w:val="right"/>
              <w:rPr>
                <w:color w:val="000000" w:themeColor="text1"/>
              </w:rPr>
            </w:pPr>
            <w:r w:rsidRPr="00BC293F">
              <w:rPr>
                <w:color w:val="000000" w:themeColor="text1"/>
              </w:rPr>
              <w:t>0</w:t>
            </w:r>
          </w:p>
        </w:tc>
        <w:tc>
          <w:tcPr>
            <w:tcW w:w="804" w:type="dxa"/>
            <w:tcBorders>
              <w:top w:val="single" w:color="auto" w:sz="4" w:space="0"/>
              <w:left w:val="nil"/>
              <w:bottom w:val="nil"/>
              <w:right w:val="nil"/>
            </w:tcBorders>
            <w:shd w:val="clear" w:color="auto" w:fill="auto"/>
            <w:noWrap/>
            <w:vAlign w:val="center"/>
            <w:hideMark/>
          </w:tcPr>
          <w:p w:rsidRPr="00BC293F" w:rsidR="00090976" w:rsidP="001C31F3" w:rsidRDefault="00090976" w14:paraId="2DFBB73B" w14:textId="77777777">
            <w:pPr>
              <w:spacing w:after="0"/>
              <w:jc w:val="right"/>
              <w:rPr>
                <w:color w:val="000000" w:themeColor="text1"/>
              </w:rPr>
            </w:pPr>
            <w:r w:rsidRPr="00BC293F">
              <w:rPr>
                <w:color w:val="000000" w:themeColor="text1"/>
              </w:rPr>
              <w:t>14</w:t>
            </w:r>
          </w:p>
        </w:tc>
        <w:tc>
          <w:tcPr>
            <w:tcW w:w="804" w:type="dxa"/>
            <w:tcBorders>
              <w:top w:val="single" w:color="auto" w:sz="4" w:space="0"/>
              <w:left w:val="nil"/>
              <w:bottom w:val="nil"/>
              <w:right w:val="nil"/>
            </w:tcBorders>
            <w:shd w:val="clear" w:color="auto" w:fill="auto"/>
            <w:noWrap/>
            <w:vAlign w:val="center"/>
            <w:hideMark/>
          </w:tcPr>
          <w:p w:rsidRPr="00BC293F" w:rsidR="00090976" w:rsidP="001C31F3" w:rsidRDefault="00090976" w14:paraId="2CB12694" w14:textId="77777777">
            <w:pPr>
              <w:spacing w:after="0"/>
              <w:jc w:val="right"/>
              <w:rPr>
                <w:color w:val="000000" w:themeColor="text1"/>
              </w:rPr>
            </w:pPr>
            <w:r w:rsidRPr="00BC293F">
              <w:rPr>
                <w:color w:val="000000" w:themeColor="text1"/>
              </w:rPr>
              <w:t>80</w:t>
            </w:r>
          </w:p>
        </w:tc>
        <w:tc>
          <w:tcPr>
            <w:tcW w:w="804" w:type="dxa"/>
            <w:tcBorders>
              <w:top w:val="single" w:color="auto" w:sz="4" w:space="0"/>
              <w:left w:val="nil"/>
              <w:bottom w:val="nil"/>
              <w:right w:val="nil"/>
            </w:tcBorders>
            <w:shd w:val="clear" w:color="auto" w:fill="auto"/>
            <w:noWrap/>
            <w:vAlign w:val="center"/>
            <w:hideMark/>
          </w:tcPr>
          <w:p w:rsidRPr="00BC293F" w:rsidR="00090976" w:rsidP="001C31F3" w:rsidRDefault="00090976" w14:paraId="2321D4EF" w14:textId="77777777">
            <w:pPr>
              <w:spacing w:after="0"/>
              <w:jc w:val="right"/>
              <w:rPr>
                <w:color w:val="000000" w:themeColor="text1"/>
              </w:rPr>
            </w:pPr>
            <w:r w:rsidRPr="00BC293F">
              <w:rPr>
                <w:color w:val="000000" w:themeColor="text1"/>
              </w:rPr>
              <w:t>59</w:t>
            </w:r>
          </w:p>
        </w:tc>
        <w:tc>
          <w:tcPr>
            <w:tcW w:w="804" w:type="dxa"/>
            <w:tcBorders>
              <w:top w:val="single" w:color="auto" w:sz="4" w:space="0"/>
              <w:left w:val="nil"/>
              <w:bottom w:val="nil"/>
              <w:right w:val="nil"/>
            </w:tcBorders>
            <w:shd w:val="clear" w:color="auto" w:fill="auto"/>
            <w:noWrap/>
            <w:vAlign w:val="center"/>
            <w:hideMark/>
          </w:tcPr>
          <w:p w:rsidRPr="00BC293F" w:rsidR="00090976" w:rsidP="001C31F3" w:rsidRDefault="00090976" w14:paraId="63F28E24" w14:textId="77777777">
            <w:pPr>
              <w:spacing w:after="0"/>
              <w:jc w:val="right"/>
              <w:rPr>
                <w:color w:val="000000" w:themeColor="text1"/>
              </w:rPr>
            </w:pPr>
            <w:r w:rsidRPr="00BC293F">
              <w:rPr>
                <w:color w:val="000000" w:themeColor="text1"/>
              </w:rPr>
              <w:t>16</w:t>
            </w:r>
          </w:p>
        </w:tc>
        <w:tc>
          <w:tcPr>
            <w:tcW w:w="940" w:type="dxa"/>
            <w:tcBorders>
              <w:top w:val="single" w:color="auto" w:sz="4" w:space="0"/>
              <w:left w:val="nil"/>
              <w:bottom w:val="nil"/>
              <w:right w:val="nil"/>
            </w:tcBorders>
            <w:shd w:val="clear" w:color="auto" w:fill="auto"/>
            <w:noWrap/>
            <w:vAlign w:val="center"/>
            <w:hideMark/>
          </w:tcPr>
          <w:p w:rsidRPr="00BC293F" w:rsidR="00090976" w:rsidP="001C31F3" w:rsidRDefault="00090976" w14:paraId="6B43F98E" w14:textId="77777777">
            <w:pPr>
              <w:spacing w:after="0"/>
              <w:jc w:val="right"/>
              <w:rPr>
                <w:color w:val="000000" w:themeColor="text1"/>
              </w:rPr>
            </w:pPr>
            <w:r w:rsidRPr="00BC293F">
              <w:rPr>
                <w:color w:val="000000" w:themeColor="text1"/>
              </w:rPr>
              <w:t>11</w:t>
            </w:r>
          </w:p>
        </w:tc>
      </w:tr>
      <w:tr w:rsidRPr="0099378B" w:rsidR="00090976" w:rsidTr="001C31F3" w14:paraId="47EB14D2" w14:textId="77777777">
        <w:trPr>
          <w:trHeight w:val="300"/>
        </w:trPr>
        <w:tc>
          <w:tcPr>
            <w:tcW w:w="1918" w:type="dxa"/>
            <w:tcBorders>
              <w:top w:val="nil"/>
              <w:left w:val="nil"/>
              <w:bottom w:val="nil"/>
              <w:right w:val="nil"/>
            </w:tcBorders>
            <w:shd w:val="clear" w:color="auto" w:fill="auto"/>
            <w:noWrap/>
            <w:vAlign w:val="bottom"/>
            <w:hideMark/>
          </w:tcPr>
          <w:p w:rsidRPr="00BC293F" w:rsidR="00090976" w:rsidP="001C31F3" w:rsidRDefault="00090976" w14:paraId="391D7CFF" w14:textId="77777777">
            <w:pPr>
              <w:spacing w:after="0"/>
              <w:rPr>
                <w:color w:val="000000" w:themeColor="text1"/>
              </w:rPr>
            </w:pPr>
            <w:r w:rsidRPr="00BC293F">
              <w:rPr>
                <w:color w:val="000000" w:themeColor="text1"/>
              </w:rPr>
              <w:t>FCR-N</w:t>
            </w:r>
          </w:p>
        </w:tc>
        <w:tc>
          <w:tcPr>
            <w:tcW w:w="804" w:type="dxa"/>
            <w:tcBorders>
              <w:top w:val="nil"/>
              <w:left w:val="nil"/>
              <w:bottom w:val="nil"/>
              <w:right w:val="nil"/>
            </w:tcBorders>
            <w:shd w:val="clear" w:color="auto" w:fill="auto"/>
            <w:noWrap/>
            <w:vAlign w:val="center"/>
            <w:hideMark/>
          </w:tcPr>
          <w:p w:rsidRPr="00BC293F" w:rsidR="00090976" w:rsidP="001C31F3" w:rsidRDefault="00090976" w14:paraId="3B510F37" w14:textId="77777777">
            <w:pPr>
              <w:spacing w:after="0"/>
              <w:jc w:val="right"/>
              <w:rPr>
                <w:color w:val="000000" w:themeColor="text1"/>
              </w:rPr>
            </w:pPr>
            <w:r w:rsidRPr="00BC293F">
              <w:rPr>
                <w:color w:val="000000" w:themeColor="text1"/>
              </w:rPr>
              <w:t>596</w:t>
            </w:r>
          </w:p>
        </w:tc>
        <w:tc>
          <w:tcPr>
            <w:tcW w:w="804" w:type="dxa"/>
            <w:tcBorders>
              <w:top w:val="nil"/>
              <w:left w:val="nil"/>
              <w:bottom w:val="nil"/>
              <w:right w:val="nil"/>
            </w:tcBorders>
            <w:shd w:val="clear" w:color="auto" w:fill="auto"/>
            <w:noWrap/>
            <w:vAlign w:val="center"/>
            <w:hideMark/>
          </w:tcPr>
          <w:p w:rsidRPr="00BC293F" w:rsidR="00090976" w:rsidP="001C31F3" w:rsidRDefault="00090976" w14:paraId="2FC17CE2" w14:textId="77777777">
            <w:pPr>
              <w:spacing w:after="0"/>
              <w:jc w:val="right"/>
              <w:rPr>
                <w:color w:val="000000" w:themeColor="text1"/>
              </w:rPr>
            </w:pPr>
            <w:r w:rsidRPr="00BC293F">
              <w:rPr>
                <w:color w:val="000000" w:themeColor="text1"/>
              </w:rPr>
              <w:t>362</w:t>
            </w:r>
          </w:p>
        </w:tc>
        <w:tc>
          <w:tcPr>
            <w:tcW w:w="804" w:type="dxa"/>
            <w:tcBorders>
              <w:top w:val="nil"/>
              <w:left w:val="nil"/>
              <w:bottom w:val="nil"/>
              <w:right w:val="nil"/>
            </w:tcBorders>
            <w:shd w:val="clear" w:color="auto" w:fill="auto"/>
            <w:noWrap/>
            <w:vAlign w:val="center"/>
            <w:hideMark/>
          </w:tcPr>
          <w:p w:rsidRPr="00BC293F" w:rsidR="00090976" w:rsidP="001C31F3" w:rsidRDefault="00090976" w14:paraId="2CE0C404" w14:textId="77777777">
            <w:pPr>
              <w:spacing w:after="0"/>
              <w:jc w:val="right"/>
              <w:rPr>
                <w:color w:val="000000" w:themeColor="text1"/>
              </w:rPr>
            </w:pPr>
            <w:r w:rsidRPr="00BC293F">
              <w:rPr>
                <w:color w:val="000000" w:themeColor="text1"/>
              </w:rPr>
              <w:t>751</w:t>
            </w:r>
          </w:p>
        </w:tc>
        <w:tc>
          <w:tcPr>
            <w:tcW w:w="804" w:type="dxa"/>
            <w:tcBorders>
              <w:top w:val="nil"/>
              <w:left w:val="nil"/>
              <w:bottom w:val="nil"/>
              <w:right w:val="nil"/>
            </w:tcBorders>
            <w:shd w:val="clear" w:color="auto" w:fill="auto"/>
            <w:noWrap/>
            <w:vAlign w:val="center"/>
            <w:hideMark/>
          </w:tcPr>
          <w:p w:rsidRPr="00BC293F" w:rsidR="00090976" w:rsidP="001C31F3" w:rsidRDefault="00090976" w14:paraId="45CCA618" w14:textId="77777777">
            <w:pPr>
              <w:spacing w:after="0"/>
              <w:jc w:val="right"/>
              <w:rPr>
                <w:color w:val="000000" w:themeColor="text1"/>
              </w:rPr>
            </w:pPr>
            <w:r w:rsidRPr="00BC293F">
              <w:rPr>
                <w:color w:val="000000" w:themeColor="text1"/>
              </w:rPr>
              <w:t>1</w:t>
            </w:r>
            <w:r>
              <w:rPr>
                <w:color w:val="000000" w:themeColor="text1"/>
              </w:rPr>
              <w:t xml:space="preserve"> </w:t>
            </w:r>
            <w:r w:rsidRPr="00BC293F">
              <w:rPr>
                <w:color w:val="000000" w:themeColor="text1"/>
              </w:rPr>
              <w:t>280</w:t>
            </w:r>
          </w:p>
        </w:tc>
        <w:tc>
          <w:tcPr>
            <w:tcW w:w="804" w:type="dxa"/>
            <w:tcBorders>
              <w:top w:val="nil"/>
              <w:left w:val="nil"/>
              <w:bottom w:val="nil"/>
              <w:right w:val="nil"/>
            </w:tcBorders>
            <w:shd w:val="clear" w:color="auto" w:fill="auto"/>
            <w:noWrap/>
            <w:vAlign w:val="center"/>
            <w:hideMark/>
          </w:tcPr>
          <w:p w:rsidRPr="00BC293F" w:rsidR="00090976" w:rsidP="001C31F3" w:rsidRDefault="00090976" w14:paraId="570CBBFC" w14:textId="77777777">
            <w:pPr>
              <w:spacing w:after="0"/>
              <w:jc w:val="right"/>
              <w:rPr>
                <w:color w:val="000000" w:themeColor="text1"/>
              </w:rPr>
            </w:pPr>
            <w:r w:rsidRPr="00BC293F">
              <w:rPr>
                <w:color w:val="000000" w:themeColor="text1"/>
              </w:rPr>
              <w:t>1</w:t>
            </w:r>
            <w:r>
              <w:rPr>
                <w:color w:val="000000" w:themeColor="text1"/>
              </w:rPr>
              <w:t xml:space="preserve"> </w:t>
            </w:r>
            <w:r w:rsidRPr="00BC293F">
              <w:rPr>
                <w:color w:val="000000" w:themeColor="text1"/>
              </w:rPr>
              <w:t>470</w:t>
            </w:r>
          </w:p>
        </w:tc>
        <w:tc>
          <w:tcPr>
            <w:tcW w:w="940" w:type="dxa"/>
            <w:tcBorders>
              <w:top w:val="nil"/>
              <w:left w:val="nil"/>
              <w:bottom w:val="nil"/>
              <w:right w:val="nil"/>
            </w:tcBorders>
            <w:shd w:val="clear" w:color="auto" w:fill="auto"/>
            <w:noWrap/>
            <w:vAlign w:val="center"/>
            <w:hideMark/>
          </w:tcPr>
          <w:p w:rsidRPr="00BC293F" w:rsidR="00090976" w:rsidP="001C31F3" w:rsidRDefault="00090976" w14:paraId="1E94A783" w14:textId="77777777">
            <w:pPr>
              <w:spacing w:after="0"/>
              <w:jc w:val="right"/>
              <w:rPr>
                <w:color w:val="000000" w:themeColor="text1"/>
              </w:rPr>
            </w:pPr>
            <w:r w:rsidRPr="00BC293F">
              <w:rPr>
                <w:color w:val="000000" w:themeColor="text1"/>
              </w:rPr>
              <w:t>1</w:t>
            </w:r>
            <w:r>
              <w:rPr>
                <w:color w:val="000000" w:themeColor="text1"/>
              </w:rPr>
              <w:t xml:space="preserve"> </w:t>
            </w:r>
            <w:r w:rsidRPr="00BC293F">
              <w:rPr>
                <w:color w:val="000000" w:themeColor="text1"/>
              </w:rPr>
              <w:t>325</w:t>
            </w:r>
          </w:p>
        </w:tc>
      </w:tr>
      <w:tr w:rsidRPr="0099378B" w:rsidR="00090976" w:rsidTr="001C31F3" w14:paraId="5B8DF40B" w14:textId="77777777">
        <w:trPr>
          <w:trHeight w:val="300"/>
        </w:trPr>
        <w:tc>
          <w:tcPr>
            <w:tcW w:w="1918" w:type="dxa"/>
            <w:tcBorders>
              <w:top w:val="nil"/>
              <w:left w:val="nil"/>
              <w:bottom w:val="nil"/>
              <w:right w:val="nil"/>
            </w:tcBorders>
            <w:shd w:val="clear" w:color="auto" w:fill="auto"/>
            <w:noWrap/>
            <w:vAlign w:val="bottom"/>
            <w:hideMark/>
          </w:tcPr>
          <w:p w:rsidRPr="00BC293F" w:rsidR="00090976" w:rsidP="001C31F3" w:rsidRDefault="00090976" w14:paraId="208A9A07" w14:textId="77777777">
            <w:pPr>
              <w:spacing w:after="0"/>
              <w:rPr>
                <w:color w:val="000000" w:themeColor="text1"/>
              </w:rPr>
            </w:pPr>
            <w:r w:rsidRPr="00BC293F">
              <w:rPr>
                <w:color w:val="000000" w:themeColor="text1"/>
              </w:rPr>
              <w:t>FCR-D Upp</w:t>
            </w:r>
          </w:p>
        </w:tc>
        <w:tc>
          <w:tcPr>
            <w:tcW w:w="804" w:type="dxa"/>
            <w:tcBorders>
              <w:top w:val="nil"/>
              <w:left w:val="nil"/>
              <w:bottom w:val="nil"/>
              <w:right w:val="nil"/>
            </w:tcBorders>
            <w:shd w:val="clear" w:color="auto" w:fill="auto"/>
            <w:noWrap/>
            <w:vAlign w:val="center"/>
            <w:hideMark/>
          </w:tcPr>
          <w:p w:rsidRPr="00BC293F" w:rsidR="00090976" w:rsidP="001C31F3" w:rsidRDefault="00090976" w14:paraId="0043BAF0" w14:textId="77777777">
            <w:pPr>
              <w:spacing w:after="0"/>
              <w:jc w:val="right"/>
              <w:rPr>
                <w:color w:val="000000" w:themeColor="text1"/>
              </w:rPr>
            </w:pPr>
            <w:r w:rsidRPr="00BC293F">
              <w:rPr>
                <w:color w:val="000000" w:themeColor="text1"/>
              </w:rPr>
              <w:t>707</w:t>
            </w:r>
          </w:p>
        </w:tc>
        <w:tc>
          <w:tcPr>
            <w:tcW w:w="804" w:type="dxa"/>
            <w:tcBorders>
              <w:top w:val="nil"/>
              <w:left w:val="nil"/>
              <w:bottom w:val="nil"/>
              <w:right w:val="nil"/>
            </w:tcBorders>
            <w:shd w:val="clear" w:color="auto" w:fill="auto"/>
            <w:noWrap/>
            <w:vAlign w:val="center"/>
            <w:hideMark/>
          </w:tcPr>
          <w:p w:rsidRPr="00BC293F" w:rsidR="00090976" w:rsidP="001C31F3" w:rsidRDefault="00090976" w14:paraId="41674C19" w14:textId="77777777">
            <w:pPr>
              <w:spacing w:after="0"/>
              <w:jc w:val="right"/>
              <w:rPr>
                <w:color w:val="000000" w:themeColor="text1"/>
              </w:rPr>
            </w:pPr>
            <w:r w:rsidRPr="00BC293F">
              <w:rPr>
                <w:color w:val="000000" w:themeColor="text1"/>
              </w:rPr>
              <w:t>693</w:t>
            </w:r>
          </w:p>
        </w:tc>
        <w:tc>
          <w:tcPr>
            <w:tcW w:w="804" w:type="dxa"/>
            <w:tcBorders>
              <w:top w:val="nil"/>
              <w:left w:val="nil"/>
              <w:bottom w:val="nil"/>
              <w:right w:val="nil"/>
            </w:tcBorders>
            <w:shd w:val="clear" w:color="auto" w:fill="auto"/>
            <w:noWrap/>
            <w:vAlign w:val="center"/>
            <w:hideMark/>
          </w:tcPr>
          <w:p w:rsidRPr="00BC293F" w:rsidR="00090976" w:rsidP="001C31F3" w:rsidRDefault="00090976" w14:paraId="32DF3CCB" w14:textId="77777777">
            <w:pPr>
              <w:spacing w:after="0"/>
              <w:jc w:val="right"/>
              <w:rPr>
                <w:color w:val="000000" w:themeColor="text1"/>
              </w:rPr>
            </w:pPr>
            <w:r w:rsidRPr="00BC293F">
              <w:rPr>
                <w:color w:val="000000" w:themeColor="text1"/>
              </w:rPr>
              <w:t>1</w:t>
            </w:r>
            <w:r>
              <w:rPr>
                <w:color w:val="000000" w:themeColor="text1"/>
              </w:rPr>
              <w:t xml:space="preserve"> </w:t>
            </w:r>
            <w:r w:rsidRPr="00BC293F">
              <w:rPr>
                <w:color w:val="000000" w:themeColor="text1"/>
              </w:rPr>
              <w:t>926</w:t>
            </w:r>
          </w:p>
        </w:tc>
        <w:tc>
          <w:tcPr>
            <w:tcW w:w="804" w:type="dxa"/>
            <w:tcBorders>
              <w:top w:val="nil"/>
              <w:left w:val="nil"/>
              <w:bottom w:val="nil"/>
              <w:right w:val="nil"/>
            </w:tcBorders>
            <w:shd w:val="clear" w:color="auto" w:fill="auto"/>
            <w:noWrap/>
            <w:vAlign w:val="center"/>
            <w:hideMark/>
          </w:tcPr>
          <w:p w:rsidRPr="00BC293F" w:rsidR="00090976" w:rsidP="001C31F3" w:rsidRDefault="00090976" w14:paraId="392BF437" w14:textId="77777777">
            <w:pPr>
              <w:spacing w:after="0"/>
              <w:jc w:val="right"/>
              <w:rPr>
                <w:color w:val="000000" w:themeColor="text1"/>
              </w:rPr>
            </w:pPr>
            <w:r w:rsidRPr="00BC293F">
              <w:rPr>
                <w:color w:val="000000" w:themeColor="text1"/>
              </w:rPr>
              <w:t>2</w:t>
            </w:r>
            <w:r>
              <w:rPr>
                <w:color w:val="000000" w:themeColor="text1"/>
              </w:rPr>
              <w:t xml:space="preserve"> </w:t>
            </w:r>
            <w:r w:rsidRPr="00BC293F">
              <w:rPr>
                <w:color w:val="000000" w:themeColor="text1"/>
              </w:rPr>
              <w:t>903</w:t>
            </w:r>
          </w:p>
        </w:tc>
        <w:tc>
          <w:tcPr>
            <w:tcW w:w="804" w:type="dxa"/>
            <w:tcBorders>
              <w:top w:val="nil"/>
              <w:left w:val="nil"/>
              <w:bottom w:val="nil"/>
              <w:right w:val="nil"/>
            </w:tcBorders>
            <w:shd w:val="clear" w:color="auto" w:fill="auto"/>
            <w:noWrap/>
            <w:vAlign w:val="center"/>
            <w:hideMark/>
          </w:tcPr>
          <w:p w:rsidRPr="00BC293F" w:rsidR="00090976" w:rsidP="001C31F3" w:rsidRDefault="00090976" w14:paraId="6644ABDC" w14:textId="77777777">
            <w:pPr>
              <w:spacing w:after="0"/>
              <w:jc w:val="right"/>
              <w:rPr>
                <w:color w:val="000000" w:themeColor="text1"/>
              </w:rPr>
            </w:pPr>
            <w:r w:rsidRPr="00BC293F">
              <w:rPr>
                <w:color w:val="000000" w:themeColor="text1"/>
              </w:rPr>
              <w:t>1</w:t>
            </w:r>
            <w:r>
              <w:rPr>
                <w:color w:val="000000" w:themeColor="text1"/>
              </w:rPr>
              <w:t xml:space="preserve"> </w:t>
            </w:r>
            <w:r w:rsidRPr="00BC293F">
              <w:rPr>
                <w:color w:val="000000" w:themeColor="text1"/>
              </w:rPr>
              <w:t>984</w:t>
            </w:r>
          </w:p>
        </w:tc>
        <w:tc>
          <w:tcPr>
            <w:tcW w:w="940" w:type="dxa"/>
            <w:tcBorders>
              <w:top w:val="nil"/>
              <w:left w:val="nil"/>
              <w:bottom w:val="nil"/>
              <w:right w:val="nil"/>
            </w:tcBorders>
            <w:shd w:val="clear" w:color="auto" w:fill="auto"/>
            <w:noWrap/>
            <w:vAlign w:val="center"/>
            <w:hideMark/>
          </w:tcPr>
          <w:p w:rsidRPr="00BC293F" w:rsidR="00090976" w:rsidP="001C31F3" w:rsidRDefault="00090976" w14:paraId="7381F481" w14:textId="77777777">
            <w:pPr>
              <w:spacing w:after="0"/>
              <w:jc w:val="right"/>
              <w:rPr>
                <w:color w:val="000000" w:themeColor="text1"/>
              </w:rPr>
            </w:pPr>
            <w:r w:rsidRPr="00BC293F">
              <w:rPr>
                <w:color w:val="000000" w:themeColor="text1"/>
              </w:rPr>
              <w:t>715</w:t>
            </w:r>
          </w:p>
        </w:tc>
      </w:tr>
      <w:tr w:rsidRPr="0099378B" w:rsidR="00090976" w:rsidTr="001C31F3" w14:paraId="22E0217A" w14:textId="77777777">
        <w:trPr>
          <w:trHeight w:val="300"/>
        </w:trPr>
        <w:tc>
          <w:tcPr>
            <w:tcW w:w="1918" w:type="dxa"/>
            <w:tcBorders>
              <w:top w:val="nil"/>
              <w:left w:val="nil"/>
              <w:bottom w:val="nil"/>
              <w:right w:val="nil"/>
            </w:tcBorders>
            <w:shd w:val="clear" w:color="auto" w:fill="auto"/>
            <w:noWrap/>
            <w:vAlign w:val="bottom"/>
            <w:hideMark/>
          </w:tcPr>
          <w:p w:rsidRPr="00BC293F" w:rsidR="00090976" w:rsidP="001C31F3" w:rsidRDefault="00090976" w14:paraId="6FD83B83" w14:textId="77777777">
            <w:pPr>
              <w:spacing w:after="0"/>
              <w:rPr>
                <w:color w:val="000000" w:themeColor="text1"/>
              </w:rPr>
            </w:pPr>
            <w:r w:rsidRPr="00BC293F">
              <w:rPr>
                <w:color w:val="000000" w:themeColor="text1"/>
              </w:rPr>
              <w:t>FCR-D Ned</w:t>
            </w:r>
          </w:p>
        </w:tc>
        <w:tc>
          <w:tcPr>
            <w:tcW w:w="804" w:type="dxa"/>
            <w:tcBorders>
              <w:top w:val="nil"/>
              <w:left w:val="nil"/>
              <w:bottom w:val="nil"/>
              <w:right w:val="nil"/>
            </w:tcBorders>
            <w:shd w:val="clear" w:color="auto" w:fill="auto"/>
            <w:noWrap/>
            <w:vAlign w:val="center"/>
            <w:hideMark/>
          </w:tcPr>
          <w:p w:rsidRPr="00BC293F" w:rsidR="00090976" w:rsidP="001C31F3" w:rsidRDefault="00090976" w14:paraId="556FF18C" w14:textId="77777777">
            <w:pPr>
              <w:spacing w:after="0"/>
              <w:jc w:val="right"/>
              <w:rPr>
                <w:color w:val="000000" w:themeColor="text1"/>
              </w:rPr>
            </w:pPr>
            <w:r w:rsidRPr="00BC293F">
              <w:rPr>
                <w:color w:val="000000" w:themeColor="text1"/>
              </w:rPr>
              <w:t>0</w:t>
            </w:r>
          </w:p>
        </w:tc>
        <w:tc>
          <w:tcPr>
            <w:tcW w:w="804" w:type="dxa"/>
            <w:tcBorders>
              <w:top w:val="nil"/>
              <w:left w:val="nil"/>
              <w:bottom w:val="nil"/>
              <w:right w:val="nil"/>
            </w:tcBorders>
            <w:shd w:val="clear" w:color="auto" w:fill="auto"/>
            <w:noWrap/>
            <w:vAlign w:val="center"/>
            <w:hideMark/>
          </w:tcPr>
          <w:p w:rsidRPr="00BC293F" w:rsidR="00090976" w:rsidP="001C31F3" w:rsidRDefault="00090976" w14:paraId="4292637F" w14:textId="77777777">
            <w:pPr>
              <w:spacing w:after="0"/>
              <w:jc w:val="right"/>
              <w:rPr>
                <w:color w:val="000000" w:themeColor="text1"/>
              </w:rPr>
            </w:pPr>
            <w:r w:rsidRPr="00BC293F">
              <w:rPr>
                <w:color w:val="000000" w:themeColor="text1"/>
              </w:rPr>
              <w:t>0</w:t>
            </w:r>
          </w:p>
        </w:tc>
        <w:tc>
          <w:tcPr>
            <w:tcW w:w="804" w:type="dxa"/>
            <w:tcBorders>
              <w:top w:val="nil"/>
              <w:left w:val="nil"/>
              <w:bottom w:val="nil"/>
              <w:right w:val="nil"/>
            </w:tcBorders>
            <w:shd w:val="clear" w:color="auto" w:fill="auto"/>
            <w:noWrap/>
            <w:vAlign w:val="center"/>
            <w:hideMark/>
          </w:tcPr>
          <w:p w:rsidRPr="00BC293F" w:rsidR="00090976" w:rsidP="001C31F3" w:rsidRDefault="00090976" w14:paraId="04FFDE99" w14:textId="77777777">
            <w:pPr>
              <w:spacing w:after="0"/>
              <w:jc w:val="right"/>
              <w:rPr>
                <w:color w:val="000000" w:themeColor="text1"/>
              </w:rPr>
            </w:pPr>
            <w:r w:rsidRPr="00BC293F">
              <w:rPr>
                <w:color w:val="000000" w:themeColor="text1"/>
              </w:rPr>
              <w:t>0</w:t>
            </w:r>
          </w:p>
        </w:tc>
        <w:tc>
          <w:tcPr>
            <w:tcW w:w="804" w:type="dxa"/>
            <w:tcBorders>
              <w:top w:val="nil"/>
              <w:left w:val="nil"/>
              <w:bottom w:val="nil"/>
              <w:right w:val="nil"/>
            </w:tcBorders>
            <w:shd w:val="clear" w:color="auto" w:fill="auto"/>
            <w:noWrap/>
            <w:vAlign w:val="center"/>
            <w:hideMark/>
          </w:tcPr>
          <w:p w:rsidRPr="00BC293F" w:rsidR="00090976" w:rsidP="001C31F3" w:rsidRDefault="00090976" w14:paraId="670B56CA" w14:textId="77777777">
            <w:pPr>
              <w:spacing w:after="0"/>
              <w:jc w:val="right"/>
              <w:rPr>
                <w:color w:val="000000" w:themeColor="text1"/>
              </w:rPr>
            </w:pPr>
            <w:r w:rsidRPr="00BC293F">
              <w:rPr>
                <w:color w:val="000000" w:themeColor="text1"/>
              </w:rPr>
              <w:t>346</w:t>
            </w:r>
          </w:p>
        </w:tc>
        <w:tc>
          <w:tcPr>
            <w:tcW w:w="804" w:type="dxa"/>
            <w:tcBorders>
              <w:top w:val="nil"/>
              <w:left w:val="nil"/>
              <w:bottom w:val="nil"/>
              <w:right w:val="nil"/>
            </w:tcBorders>
            <w:shd w:val="clear" w:color="auto" w:fill="auto"/>
            <w:noWrap/>
            <w:vAlign w:val="center"/>
            <w:hideMark/>
          </w:tcPr>
          <w:p w:rsidRPr="00BC293F" w:rsidR="00090976" w:rsidP="001C31F3" w:rsidRDefault="00090976" w14:paraId="390D80F7" w14:textId="77777777">
            <w:pPr>
              <w:spacing w:after="0"/>
              <w:jc w:val="right"/>
              <w:rPr>
                <w:color w:val="000000" w:themeColor="text1"/>
              </w:rPr>
            </w:pPr>
            <w:r w:rsidRPr="00BC293F">
              <w:rPr>
                <w:color w:val="000000" w:themeColor="text1"/>
              </w:rPr>
              <w:t>1769</w:t>
            </w:r>
          </w:p>
        </w:tc>
        <w:tc>
          <w:tcPr>
            <w:tcW w:w="940" w:type="dxa"/>
            <w:tcBorders>
              <w:top w:val="nil"/>
              <w:left w:val="nil"/>
              <w:bottom w:val="nil"/>
              <w:right w:val="nil"/>
            </w:tcBorders>
            <w:shd w:val="clear" w:color="auto" w:fill="auto"/>
            <w:noWrap/>
            <w:vAlign w:val="center"/>
            <w:hideMark/>
          </w:tcPr>
          <w:p w:rsidRPr="00BC293F" w:rsidR="00090976" w:rsidP="001C31F3" w:rsidRDefault="00090976" w14:paraId="561947B0" w14:textId="77777777">
            <w:pPr>
              <w:spacing w:after="0"/>
              <w:jc w:val="right"/>
              <w:rPr>
                <w:color w:val="000000" w:themeColor="text1"/>
              </w:rPr>
            </w:pPr>
            <w:r w:rsidRPr="00BC293F">
              <w:rPr>
                <w:color w:val="000000" w:themeColor="text1"/>
              </w:rPr>
              <w:t>1</w:t>
            </w:r>
            <w:r>
              <w:rPr>
                <w:color w:val="000000" w:themeColor="text1"/>
              </w:rPr>
              <w:t xml:space="preserve"> </w:t>
            </w:r>
            <w:r w:rsidRPr="00BC293F">
              <w:rPr>
                <w:color w:val="000000" w:themeColor="text1"/>
              </w:rPr>
              <w:t>140</w:t>
            </w:r>
          </w:p>
        </w:tc>
      </w:tr>
      <w:tr w:rsidRPr="0099378B" w:rsidR="00090976" w:rsidTr="001C31F3" w14:paraId="16207A26" w14:textId="77777777">
        <w:trPr>
          <w:trHeight w:val="300"/>
        </w:trPr>
        <w:tc>
          <w:tcPr>
            <w:tcW w:w="1918" w:type="dxa"/>
            <w:tcBorders>
              <w:top w:val="nil"/>
              <w:left w:val="nil"/>
              <w:bottom w:val="nil"/>
              <w:right w:val="nil"/>
            </w:tcBorders>
            <w:shd w:val="clear" w:color="auto" w:fill="auto"/>
            <w:noWrap/>
            <w:vAlign w:val="bottom"/>
            <w:hideMark/>
          </w:tcPr>
          <w:p w:rsidRPr="00BC293F" w:rsidR="00090976" w:rsidP="001C31F3" w:rsidRDefault="00090976" w14:paraId="0B710670" w14:textId="77777777">
            <w:pPr>
              <w:spacing w:after="0"/>
              <w:rPr>
                <w:color w:val="000000" w:themeColor="text1"/>
              </w:rPr>
            </w:pPr>
            <w:proofErr w:type="spellStart"/>
            <w:r w:rsidRPr="00BC293F">
              <w:rPr>
                <w:color w:val="000000" w:themeColor="text1"/>
              </w:rPr>
              <w:t>aFRR</w:t>
            </w:r>
            <w:proofErr w:type="spellEnd"/>
          </w:p>
        </w:tc>
        <w:tc>
          <w:tcPr>
            <w:tcW w:w="804" w:type="dxa"/>
            <w:tcBorders>
              <w:top w:val="nil"/>
              <w:left w:val="nil"/>
              <w:bottom w:val="nil"/>
              <w:right w:val="nil"/>
            </w:tcBorders>
            <w:shd w:val="clear" w:color="auto" w:fill="auto"/>
            <w:noWrap/>
            <w:vAlign w:val="center"/>
            <w:hideMark/>
          </w:tcPr>
          <w:p w:rsidRPr="00BC293F" w:rsidR="00090976" w:rsidP="001C31F3" w:rsidRDefault="00090976" w14:paraId="0A10A43F" w14:textId="77777777">
            <w:pPr>
              <w:spacing w:after="0"/>
              <w:jc w:val="right"/>
              <w:rPr>
                <w:color w:val="000000" w:themeColor="text1"/>
              </w:rPr>
            </w:pPr>
            <w:r w:rsidRPr="00BC293F">
              <w:rPr>
                <w:color w:val="000000" w:themeColor="text1"/>
              </w:rPr>
              <w:t>122</w:t>
            </w:r>
          </w:p>
        </w:tc>
        <w:tc>
          <w:tcPr>
            <w:tcW w:w="804" w:type="dxa"/>
            <w:tcBorders>
              <w:top w:val="nil"/>
              <w:left w:val="nil"/>
              <w:bottom w:val="nil"/>
              <w:right w:val="nil"/>
            </w:tcBorders>
            <w:shd w:val="clear" w:color="auto" w:fill="auto"/>
            <w:noWrap/>
            <w:vAlign w:val="center"/>
            <w:hideMark/>
          </w:tcPr>
          <w:p w:rsidRPr="00BC293F" w:rsidR="00090976" w:rsidP="001C31F3" w:rsidRDefault="00090976" w14:paraId="3B79C926" w14:textId="77777777">
            <w:pPr>
              <w:spacing w:after="0"/>
              <w:jc w:val="right"/>
              <w:rPr>
                <w:color w:val="000000" w:themeColor="text1"/>
              </w:rPr>
            </w:pPr>
            <w:r w:rsidRPr="00BC293F">
              <w:rPr>
                <w:color w:val="000000" w:themeColor="text1"/>
              </w:rPr>
              <w:t>172</w:t>
            </w:r>
          </w:p>
        </w:tc>
        <w:tc>
          <w:tcPr>
            <w:tcW w:w="804" w:type="dxa"/>
            <w:tcBorders>
              <w:top w:val="nil"/>
              <w:left w:val="nil"/>
              <w:bottom w:val="nil"/>
              <w:right w:val="nil"/>
            </w:tcBorders>
            <w:shd w:val="clear" w:color="auto" w:fill="auto"/>
            <w:noWrap/>
            <w:vAlign w:val="center"/>
            <w:hideMark/>
          </w:tcPr>
          <w:p w:rsidRPr="00BC293F" w:rsidR="00090976" w:rsidP="001C31F3" w:rsidRDefault="00090976" w14:paraId="4A267C7D" w14:textId="77777777">
            <w:pPr>
              <w:spacing w:after="0"/>
              <w:jc w:val="right"/>
              <w:rPr>
                <w:color w:val="000000" w:themeColor="text1"/>
              </w:rPr>
            </w:pPr>
            <w:r w:rsidRPr="00BC293F">
              <w:rPr>
                <w:color w:val="000000" w:themeColor="text1"/>
              </w:rPr>
              <w:t>580</w:t>
            </w:r>
          </w:p>
        </w:tc>
        <w:tc>
          <w:tcPr>
            <w:tcW w:w="804" w:type="dxa"/>
            <w:tcBorders>
              <w:top w:val="nil"/>
              <w:left w:val="nil"/>
              <w:bottom w:val="nil"/>
              <w:right w:val="nil"/>
            </w:tcBorders>
            <w:shd w:val="clear" w:color="auto" w:fill="auto"/>
            <w:noWrap/>
            <w:vAlign w:val="center"/>
            <w:hideMark/>
          </w:tcPr>
          <w:p w:rsidRPr="00BC293F" w:rsidR="00090976" w:rsidP="001C31F3" w:rsidRDefault="00090976" w14:paraId="41829E67" w14:textId="77777777">
            <w:pPr>
              <w:spacing w:after="0"/>
              <w:jc w:val="right"/>
              <w:rPr>
                <w:color w:val="000000" w:themeColor="text1"/>
              </w:rPr>
            </w:pPr>
            <w:r w:rsidRPr="00BC293F">
              <w:rPr>
                <w:color w:val="000000" w:themeColor="text1"/>
              </w:rPr>
              <w:t>1</w:t>
            </w:r>
            <w:r>
              <w:rPr>
                <w:color w:val="000000" w:themeColor="text1"/>
              </w:rPr>
              <w:t xml:space="preserve"> </w:t>
            </w:r>
            <w:r w:rsidRPr="00BC293F">
              <w:rPr>
                <w:color w:val="000000" w:themeColor="text1"/>
              </w:rPr>
              <w:t>265</w:t>
            </w:r>
          </w:p>
        </w:tc>
        <w:tc>
          <w:tcPr>
            <w:tcW w:w="804" w:type="dxa"/>
            <w:tcBorders>
              <w:top w:val="nil"/>
              <w:left w:val="nil"/>
              <w:bottom w:val="nil"/>
              <w:right w:val="nil"/>
            </w:tcBorders>
            <w:shd w:val="clear" w:color="auto" w:fill="auto"/>
            <w:noWrap/>
            <w:vAlign w:val="center"/>
            <w:hideMark/>
          </w:tcPr>
          <w:p w:rsidRPr="00BC293F" w:rsidR="00090976" w:rsidP="001C31F3" w:rsidRDefault="00090976" w14:paraId="4B03AAD6" w14:textId="77777777">
            <w:pPr>
              <w:spacing w:after="0"/>
              <w:jc w:val="right"/>
              <w:rPr>
                <w:color w:val="000000" w:themeColor="text1"/>
              </w:rPr>
            </w:pPr>
            <w:r w:rsidRPr="00BC293F">
              <w:rPr>
                <w:color w:val="000000" w:themeColor="text1"/>
              </w:rPr>
              <w:t>533</w:t>
            </w:r>
          </w:p>
        </w:tc>
        <w:tc>
          <w:tcPr>
            <w:tcW w:w="940" w:type="dxa"/>
            <w:tcBorders>
              <w:top w:val="nil"/>
              <w:left w:val="nil"/>
              <w:bottom w:val="nil"/>
              <w:right w:val="nil"/>
            </w:tcBorders>
            <w:shd w:val="clear" w:color="auto" w:fill="auto"/>
            <w:noWrap/>
            <w:vAlign w:val="center"/>
            <w:hideMark/>
          </w:tcPr>
          <w:p w:rsidRPr="00BC293F" w:rsidR="00090976" w:rsidP="001C31F3" w:rsidRDefault="00090976" w14:paraId="66BDB047" w14:textId="77777777">
            <w:pPr>
              <w:spacing w:after="0"/>
              <w:jc w:val="right"/>
              <w:rPr>
                <w:color w:val="000000" w:themeColor="text1"/>
              </w:rPr>
            </w:pPr>
            <w:r w:rsidRPr="00BC293F">
              <w:rPr>
                <w:color w:val="000000" w:themeColor="text1"/>
              </w:rPr>
              <w:t>426</w:t>
            </w:r>
          </w:p>
        </w:tc>
      </w:tr>
      <w:tr w:rsidRPr="0099378B" w:rsidR="00090976" w:rsidTr="001C31F3" w14:paraId="54DC4F8B" w14:textId="77777777">
        <w:trPr>
          <w:trHeight w:val="300"/>
        </w:trPr>
        <w:tc>
          <w:tcPr>
            <w:tcW w:w="1918" w:type="dxa"/>
            <w:tcBorders>
              <w:top w:val="nil"/>
              <w:left w:val="nil"/>
              <w:right w:val="nil"/>
            </w:tcBorders>
            <w:shd w:val="clear" w:color="auto" w:fill="auto"/>
            <w:noWrap/>
            <w:vAlign w:val="bottom"/>
            <w:hideMark/>
          </w:tcPr>
          <w:p w:rsidRPr="00BC293F" w:rsidR="00090976" w:rsidP="001C31F3" w:rsidRDefault="00090976" w14:paraId="76FABBEC" w14:textId="77777777">
            <w:pPr>
              <w:spacing w:after="0"/>
              <w:rPr>
                <w:color w:val="000000" w:themeColor="text1"/>
              </w:rPr>
            </w:pPr>
            <w:proofErr w:type="spellStart"/>
            <w:r w:rsidRPr="00BC293F">
              <w:rPr>
                <w:color w:val="000000" w:themeColor="text1"/>
              </w:rPr>
              <w:t>mFRR</w:t>
            </w:r>
            <w:proofErr w:type="spellEnd"/>
          </w:p>
        </w:tc>
        <w:tc>
          <w:tcPr>
            <w:tcW w:w="804" w:type="dxa"/>
            <w:tcBorders>
              <w:top w:val="nil"/>
              <w:left w:val="nil"/>
              <w:right w:val="nil"/>
            </w:tcBorders>
            <w:shd w:val="clear" w:color="auto" w:fill="auto"/>
            <w:noWrap/>
            <w:vAlign w:val="center"/>
            <w:hideMark/>
          </w:tcPr>
          <w:p w:rsidRPr="00BC293F" w:rsidR="00090976" w:rsidP="001C31F3" w:rsidRDefault="00090976" w14:paraId="0C084ED0" w14:textId="77777777">
            <w:pPr>
              <w:spacing w:after="0"/>
              <w:jc w:val="right"/>
              <w:rPr>
                <w:color w:val="000000" w:themeColor="text1"/>
              </w:rPr>
            </w:pPr>
            <w:r w:rsidRPr="00BC293F">
              <w:rPr>
                <w:color w:val="000000" w:themeColor="text1"/>
              </w:rPr>
              <w:t>0</w:t>
            </w:r>
          </w:p>
        </w:tc>
        <w:tc>
          <w:tcPr>
            <w:tcW w:w="804" w:type="dxa"/>
            <w:tcBorders>
              <w:top w:val="nil"/>
              <w:left w:val="nil"/>
              <w:right w:val="nil"/>
            </w:tcBorders>
            <w:shd w:val="clear" w:color="auto" w:fill="auto"/>
            <w:noWrap/>
            <w:vAlign w:val="center"/>
            <w:hideMark/>
          </w:tcPr>
          <w:p w:rsidRPr="00BC293F" w:rsidR="00090976" w:rsidP="001C31F3" w:rsidRDefault="00090976" w14:paraId="35C441A1" w14:textId="77777777">
            <w:pPr>
              <w:spacing w:after="0"/>
              <w:jc w:val="right"/>
              <w:rPr>
                <w:color w:val="000000" w:themeColor="text1"/>
              </w:rPr>
            </w:pPr>
            <w:r w:rsidRPr="00BC293F">
              <w:rPr>
                <w:color w:val="000000" w:themeColor="text1"/>
              </w:rPr>
              <w:t>0</w:t>
            </w:r>
          </w:p>
        </w:tc>
        <w:tc>
          <w:tcPr>
            <w:tcW w:w="804" w:type="dxa"/>
            <w:tcBorders>
              <w:top w:val="nil"/>
              <w:left w:val="nil"/>
              <w:right w:val="nil"/>
            </w:tcBorders>
            <w:shd w:val="clear" w:color="auto" w:fill="auto"/>
            <w:noWrap/>
            <w:vAlign w:val="center"/>
            <w:hideMark/>
          </w:tcPr>
          <w:p w:rsidRPr="00BC293F" w:rsidR="00090976" w:rsidP="001C31F3" w:rsidRDefault="00090976" w14:paraId="45167C94" w14:textId="77777777">
            <w:pPr>
              <w:spacing w:after="0"/>
              <w:jc w:val="right"/>
              <w:rPr>
                <w:color w:val="000000" w:themeColor="text1"/>
              </w:rPr>
            </w:pPr>
            <w:r w:rsidRPr="00BC293F">
              <w:rPr>
                <w:color w:val="000000" w:themeColor="text1"/>
              </w:rPr>
              <w:t>0</w:t>
            </w:r>
          </w:p>
        </w:tc>
        <w:tc>
          <w:tcPr>
            <w:tcW w:w="804" w:type="dxa"/>
            <w:tcBorders>
              <w:top w:val="nil"/>
              <w:left w:val="nil"/>
              <w:right w:val="nil"/>
            </w:tcBorders>
            <w:shd w:val="clear" w:color="auto" w:fill="auto"/>
            <w:noWrap/>
            <w:vAlign w:val="center"/>
            <w:hideMark/>
          </w:tcPr>
          <w:p w:rsidRPr="00BC293F" w:rsidR="00090976" w:rsidP="001C31F3" w:rsidRDefault="00090976" w14:paraId="0AB6115C" w14:textId="77777777">
            <w:pPr>
              <w:spacing w:after="0"/>
              <w:jc w:val="right"/>
              <w:rPr>
                <w:color w:val="000000" w:themeColor="text1"/>
              </w:rPr>
            </w:pPr>
            <w:r w:rsidRPr="00BC293F">
              <w:rPr>
                <w:color w:val="000000" w:themeColor="text1"/>
              </w:rPr>
              <w:t>0</w:t>
            </w:r>
          </w:p>
        </w:tc>
        <w:tc>
          <w:tcPr>
            <w:tcW w:w="804" w:type="dxa"/>
            <w:tcBorders>
              <w:top w:val="nil"/>
              <w:left w:val="nil"/>
              <w:right w:val="nil"/>
            </w:tcBorders>
            <w:shd w:val="clear" w:color="auto" w:fill="auto"/>
            <w:noWrap/>
            <w:vAlign w:val="center"/>
            <w:hideMark/>
          </w:tcPr>
          <w:p w:rsidRPr="00BC293F" w:rsidR="00090976" w:rsidP="001C31F3" w:rsidRDefault="00090976" w14:paraId="05C4B6DD" w14:textId="77777777">
            <w:pPr>
              <w:spacing w:after="0"/>
              <w:jc w:val="right"/>
              <w:rPr>
                <w:color w:val="000000" w:themeColor="text1"/>
              </w:rPr>
            </w:pPr>
            <w:r w:rsidRPr="00BC293F">
              <w:rPr>
                <w:color w:val="000000" w:themeColor="text1"/>
              </w:rPr>
              <w:t>100</w:t>
            </w:r>
          </w:p>
        </w:tc>
        <w:tc>
          <w:tcPr>
            <w:tcW w:w="940" w:type="dxa"/>
            <w:tcBorders>
              <w:top w:val="nil"/>
              <w:left w:val="nil"/>
              <w:right w:val="nil"/>
            </w:tcBorders>
            <w:shd w:val="clear" w:color="auto" w:fill="auto"/>
            <w:noWrap/>
            <w:vAlign w:val="center"/>
            <w:hideMark/>
          </w:tcPr>
          <w:p w:rsidRPr="00BC293F" w:rsidR="00090976" w:rsidP="001C31F3" w:rsidRDefault="00090976" w14:paraId="66A7F7DA" w14:textId="77777777">
            <w:pPr>
              <w:spacing w:after="0"/>
              <w:jc w:val="right"/>
              <w:rPr>
                <w:color w:val="000000" w:themeColor="text1"/>
              </w:rPr>
            </w:pPr>
            <w:r w:rsidRPr="00BC293F">
              <w:rPr>
                <w:color w:val="000000" w:themeColor="text1"/>
              </w:rPr>
              <w:t>1</w:t>
            </w:r>
            <w:r>
              <w:rPr>
                <w:color w:val="000000" w:themeColor="text1"/>
              </w:rPr>
              <w:t xml:space="preserve"> </w:t>
            </w:r>
            <w:r w:rsidRPr="00BC293F">
              <w:rPr>
                <w:color w:val="000000" w:themeColor="text1"/>
              </w:rPr>
              <w:t>793</w:t>
            </w:r>
          </w:p>
        </w:tc>
      </w:tr>
      <w:tr w:rsidRPr="0099378B" w:rsidR="00090976" w:rsidTr="001C31F3" w14:paraId="366E12A4" w14:textId="77777777">
        <w:trPr>
          <w:trHeight w:val="300"/>
        </w:trPr>
        <w:tc>
          <w:tcPr>
            <w:tcW w:w="1918" w:type="dxa"/>
            <w:tcBorders>
              <w:top w:val="nil"/>
              <w:left w:val="nil"/>
              <w:bottom w:val="single" w:color="auto" w:sz="4" w:space="0"/>
              <w:right w:val="nil"/>
            </w:tcBorders>
            <w:shd w:val="clear" w:color="auto" w:fill="auto"/>
            <w:noWrap/>
            <w:vAlign w:val="bottom"/>
            <w:hideMark/>
          </w:tcPr>
          <w:p w:rsidRPr="00BC293F" w:rsidR="00090976" w:rsidP="001C31F3" w:rsidRDefault="00090976" w14:paraId="22E4702C" w14:textId="77777777">
            <w:pPr>
              <w:spacing w:after="0"/>
              <w:rPr>
                <w:color w:val="000000" w:themeColor="text1"/>
              </w:rPr>
            </w:pPr>
            <w:r w:rsidRPr="00BC293F">
              <w:rPr>
                <w:color w:val="000000" w:themeColor="text1"/>
              </w:rPr>
              <w:t>Summa</w:t>
            </w:r>
          </w:p>
        </w:tc>
        <w:tc>
          <w:tcPr>
            <w:tcW w:w="804" w:type="dxa"/>
            <w:tcBorders>
              <w:top w:val="nil"/>
              <w:left w:val="nil"/>
              <w:bottom w:val="single" w:color="auto" w:sz="4" w:space="0"/>
              <w:right w:val="nil"/>
            </w:tcBorders>
            <w:shd w:val="clear" w:color="auto" w:fill="auto"/>
            <w:noWrap/>
            <w:vAlign w:val="center"/>
            <w:hideMark/>
          </w:tcPr>
          <w:p w:rsidRPr="00BC293F" w:rsidR="00090976" w:rsidP="001C31F3" w:rsidRDefault="00090976" w14:paraId="30B0184F" w14:textId="77777777">
            <w:pPr>
              <w:spacing w:after="0"/>
              <w:jc w:val="right"/>
              <w:rPr>
                <w:color w:val="000000" w:themeColor="text1"/>
              </w:rPr>
            </w:pPr>
            <w:r w:rsidRPr="00BC293F">
              <w:rPr>
                <w:color w:val="000000" w:themeColor="text1"/>
              </w:rPr>
              <w:t>1</w:t>
            </w:r>
            <w:r>
              <w:rPr>
                <w:color w:val="000000" w:themeColor="text1"/>
              </w:rPr>
              <w:t xml:space="preserve"> </w:t>
            </w:r>
            <w:r w:rsidRPr="00BC293F">
              <w:rPr>
                <w:color w:val="000000" w:themeColor="text1"/>
              </w:rPr>
              <w:t>425</w:t>
            </w:r>
          </w:p>
        </w:tc>
        <w:tc>
          <w:tcPr>
            <w:tcW w:w="804" w:type="dxa"/>
            <w:tcBorders>
              <w:top w:val="nil"/>
              <w:left w:val="nil"/>
              <w:bottom w:val="single" w:color="auto" w:sz="4" w:space="0"/>
              <w:right w:val="nil"/>
            </w:tcBorders>
            <w:shd w:val="clear" w:color="auto" w:fill="auto"/>
            <w:noWrap/>
            <w:vAlign w:val="center"/>
            <w:hideMark/>
          </w:tcPr>
          <w:p w:rsidRPr="00BC293F" w:rsidR="00090976" w:rsidP="001C31F3" w:rsidRDefault="00090976" w14:paraId="6EA15DBF" w14:textId="77777777">
            <w:pPr>
              <w:spacing w:after="0"/>
              <w:jc w:val="right"/>
              <w:rPr>
                <w:color w:val="000000" w:themeColor="text1"/>
              </w:rPr>
            </w:pPr>
            <w:r w:rsidRPr="00BC293F">
              <w:rPr>
                <w:color w:val="000000" w:themeColor="text1"/>
              </w:rPr>
              <w:t>1</w:t>
            </w:r>
            <w:r>
              <w:rPr>
                <w:color w:val="000000" w:themeColor="text1"/>
              </w:rPr>
              <w:t xml:space="preserve"> </w:t>
            </w:r>
            <w:r w:rsidRPr="00BC293F">
              <w:rPr>
                <w:color w:val="000000" w:themeColor="text1"/>
              </w:rPr>
              <w:t>241</w:t>
            </w:r>
          </w:p>
        </w:tc>
        <w:tc>
          <w:tcPr>
            <w:tcW w:w="804" w:type="dxa"/>
            <w:tcBorders>
              <w:top w:val="nil"/>
              <w:left w:val="nil"/>
              <w:bottom w:val="single" w:color="auto" w:sz="4" w:space="0"/>
              <w:right w:val="nil"/>
            </w:tcBorders>
            <w:shd w:val="clear" w:color="auto" w:fill="auto"/>
            <w:noWrap/>
            <w:vAlign w:val="center"/>
            <w:hideMark/>
          </w:tcPr>
          <w:p w:rsidRPr="00BC293F" w:rsidR="00090976" w:rsidP="001C31F3" w:rsidRDefault="00090976" w14:paraId="3F965A6E" w14:textId="77777777">
            <w:pPr>
              <w:spacing w:after="0"/>
              <w:jc w:val="right"/>
              <w:rPr>
                <w:color w:val="000000" w:themeColor="text1"/>
              </w:rPr>
            </w:pPr>
            <w:r w:rsidRPr="00BC293F">
              <w:rPr>
                <w:color w:val="000000" w:themeColor="text1"/>
              </w:rPr>
              <w:t>3</w:t>
            </w:r>
            <w:r>
              <w:rPr>
                <w:color w:val="000000" w:themeColor="text1"/>
              </w:rPr>
              <w:t xml:space="preserve"> </w:t>
            </w:r>
            <w:r w:rsidRPr="00BC293F">
              <w:rPr>
                <w:color w:val="000000" w:themeColor="text1"/>
              </w:rPr>
              <w:t>337</w:t>
            </w:r>
          </w:p>
        </w:tc>
        <w:tc>
          <w:tcPr>
            <w:tcW w:w="804" w:type="dxa"/>
            <w:tcBorders>
              <w:top w:val="nil"/>
              <w:left w:val="nil"/>
              <w:bottom w:val="single" w:color="auto" w:sz="4" w:space="0"/>
              <w:right w:val="nil"/>
            </w:tcBorders>
            <w:shd w:val="clear" w:color="auto" w:fill="auto"/>
            <w:noWrap/>
            <w:vAlign w:val="center"/>
            <w:hideMark/>
          </w:tcPr>
          <w:p w:rsidRPr="00BC293F" w:rsidR="00090976" w:rsidP="001C31F3" w:rsidRDefault="00090976" w14:paraId="0617F320" w14:textId="77777777">
            <w:pPr>
              <w:spacing w:after="0"/>
              <w:jc w:val="right"/>
              <w:rPr>
                <w:color w:val="000000" w:themeColor="text1"/>
              </w:rPr>
            </w:pPr>
            <w:r w:rsidRPr="00BC293F">
              <w:rPr>
                <w:color w:val="000000" w:themeColor="text1"/>
              </w:rPr>
              <w:t>5</w:t>
            </w:r>
            <w:r>
              <w:rPr>
                <w:color w:val="000000" w:themeColor="text1"/>
              </w:rPr>
              <w:t xml:space="preserve"> </w:t>
            </w:r>
            <w:r w:rsidRPr="00BC293F">
              <w:rPr>
                <w:color w:val="000000" w:themeColor="text1"/>
              </w:rPr>
              <w:t>853</w:t>
            </w:r>
          </w:p>
        </w:tc>
        <w:tc>
          <w:tcPr>
            <w:tcW w:w="804" w:type="dxa"/>
            <w:tcBorders>
              <w:top w:val="nil"/>
              <w:left w:val="nil"/>
              <w:bottom w:val="single" w:color="auto" w:sz="4" w:space="0"/>
              <w:right w:val="nil"/>
            </w:tcBorders>
            <w:shd w:val="clear" w:color="auto" w:fill="auto"/>
            <w:noWrap/>
            <w:vAlign w:val="center"/>
            <w:hideMark/>
          </w:tcPr>
          <w:p w:rsidRPr="00BC293F" w:rsidR="00090976" w:rsidP="001C31F3" w:rsidRDefault="00090976" w14:paraId="5FD6B8D6" w14:textId="77777777">
            <w:pPr>
              <w:spacing w:after="0"/>
              <w:jc w:val="right"/>
              <w:rPr>
                <w:color w:val="000000" w:themeColor="text1"/>
              </w:rPr>
            </w:pPr>
            <w:r w:rsidRPr="00BC293F">
              <w:rPr>
                <w:color w:val="000000" w:themeColor="text1"/>
              </w:rPr>
              <w:t>5</w:t>
            </w:r>
            <w:r>
              <w:rPr>
                <w:color w:val="000000" w:themeColor="text1"/>
              </w:rPr>
              <w:t xml:space="preserve"> </w:t>
            </w:r>
            <w:r w:rsidRPr="00BC293F">
              <w:rPr>
                <w:color w:val="000000" w:themeColor="text1"/>
              </w:rPr>
              <w:t>872</w:t>
            </w:r>
          </w:p>
        </w:tc>
        <w:tc>
          <w:tcPr>
            <w:tcW w:w="940" w:type="dxa"/>
            <w:tcBorders>
              <w:top w:val="nil"/>
              <w:left w:val="nil"/>
              <w:bottom w:val="single" w:color="auto" w:sz="4" w:space="0"/>
              <w:right w:val="nil"/>
            </w:tcBorders>
            <w:shd w:val="clear" w:color="auto" w:fill="auto"/>
            <w:noWrap/>
            <w:vAlign w:val="center"/>
            <w:hideMark/>
          </w:tcPr>
          <w:p w:rsidRPr="00BC293F" w:rsidR="00090976" w:rsidP="001C31F3" w:rsidRDefault="00090976" w14:paraId="4B7DDC02" w14:textId="77777777">
            <w:pPr>
              <w:spacing w:after="0"/>
              <w:jc w:val="right"/>
              <w:rPr>
                <w:color w:val="000000" w:themeColor="text1"/>
              </w:rPr>
            </w:pPr>
            <w:r w:rsidRPr="00BC293F">
              <w:rPr>
                <w:color w:val="000000" w:themeColor="text1"/>
              </w:rPr>
              <w:t>5</w:t>
            </w:r>
            <w:r>
              <w:rPr>
                <w:color w:val="000000" w:themeColor="text1"/>
              </w:rPr>
              <w:t xml:space="preserve"> </w:t>
            </w:r>
            <w:r w:rsidRPr="00BC293F">
              <w:rPr>
                <w:color w:val="000000" w:themeColor="text1"/>
              </w:rPr>
              <w:t>410</w:t>
            </w:r>
          </w:p>
        </w:tc>
      </w:tr>
    </w:tbl>
    <w:p w:rsidRPr="004E5606" w:rsidR="00090976" w:rsidP="00090976" w:rsidRDefault="00090976" w14:paraId="37CDF638" w14:textId="77777777">
      <w:pPr>
        <w:spacing w:after="0"/>
        <w:rPr>
          <w:sz w:val="20"/>
          <w:szCs w:val="20"/>
        </w:rPr>
      </w:pPr>
      <w:r w:rsidRPr="004E5606">
        <w:rPr>
          <w:sz w:val="20"/>
          <w:szCs w:val="20"/>
        </w:rPr>
        <w:t>Anm.: * Prognos oktober 2024. Innebörden av de olika balanstjänsterna (förkortningarna) förklaras i bilagan</w:t>
      </w:r>
    </w:p>
    <w:p w:rsidR="00090976" w:rsidP="00090976" w:rsidRDefault="00090976" w14:paraId="12EAA586" w14:textId="20CED8FD">
      <w:r w:rsidRPr="004E5606">
        <w:rPr>
          <w:sz w:val="20"/>
          <w:szCs w:val="20"/>
        </w:rPr>
        <w:t>Källa: Svenska kraftnät (se sid 15 i rapporten och Excelfil, not 1)</w:t>
      </w:r>
    </w:p>
    <w:p w:rsidR="00090976" w:rsidP="00090976" w:rsidRDefault="00090976" w14:paraId="4657B69D" w14:textId="6AFBFD72">
      <w:r>
        <w:t xml:space="preserve">Enligt </w:t>
      </w:r>
      <w:proofErr w:type="gramStart"/>
      <w:r>
        <w:t>Svenska</w:t>
      </w:r>
      <w:proofErr w:type="gramEnd"/>
      <w:r>
        <w:t xml:space="preserve"> kraftnät beror kostnadsökningen på flera faktorer. En viktig förändring var införandet av </w:t>
      </w:r>
      <w:proofErr w:type="spellStart"/>
      <w:r>
        <w:t>mFRR</w:t>
      </w:r>
      <w:proofErr w:type="spellEnd"/>
      <w:r>
        <w:t xml:space="preserve">-kapacitetsmarknaden i oktober 2023. Tidigare användes </w:t>
      </w:r>
      <w:proofErr w:type="spellStart"/>
      <w:r>
        <w:t>mFRR</w:t>
      </w:r>
      <w:proofErr w:type="spellEnd"/>
      <w:r>
        <w:t xml:space="preserve"> (manual </w:t>
      </w:r>
      <w:proofErr w:type="spellStart"/>
      <w:r>
        <w:t>Frequency</w:t>
      </w:r>
      <w:proofErr w:type="spellEnd"/>
      <w:r>
        <w:t xml:space="preserve"> Restoration </w:t>
      </w:r>
      <w:proofErr w:type="spellStart"/>
      <w:r>
        <w:t>Reserve</w:t>
      </w:r>
      <w:proofErr w:type="spellEnd"/>
      <w:r>
        <w:t>) enbart för att aktivera energi vid behov, men genom den nya kapacitetsmarknaden köps nu även reserver in i förväg för att säkerställa att det finns tillräckligt med kapacitet när obalanser uppstår. Samtidigt har Sveriges andel av de nordiska FCR-kraven (</w:t>
      </w:r>
      <w:proofErr w:type="spellStart"/>
      <w:r>
        <w:t>Frequency</w:t>
      </w:r>
      <w:proofErr w:type="spellEnd"/>
      <w:r>
        <w:t xml:space="preserve"> </w:t>
      </w:r>
      <w:proofErr w:type="spellStart"/>
      <w:r>
        <w:t>Containment</w:t>
      </w:r>
      <w:proofErr w:type="spellEnd"/>
      <w:r>
        <w:t xml:space="preserve"> </w:t>
      </w:r>
      <w:proofErr w:type="spellStart"/>
      <w:r>
        <w:t>Reserve</w:t>
      </w:r>
      <w:proofErr w:type="spellEnd"/>
      <w:r>
        <w:t>) ökat på grund av nya beräkningsmetoder. FCR är den typ av reserver som används för att stabilisera frekvensen i elsystemet när det uppstår små avvikelser. När Sveriges andel av dessa krav ökar innebär det att fler resurser måste avsättas för att hantera frekvensregleringen, vilket ökar kostnaderna.</w:t>
      </w:r>
    </w:p>
    <w:p w:rsidR="00090976" w:rsidP="00090976" w:rsidRDefault="00090976" w14:paraId="25231A90" w14:textId="4C98FE83">
      <w:r>
        <w:t>Ytterligare en faktor är att nya HVDC-kablar (</w:t>
      </w:r>
      <w:proofErr w:type="spellStart"/>
      <w:r>
        <w:t>High</w:t>
      </w:r>
      <w:proofErr w:type="spellEnd"/>
      <w:r>
        <w:t xml:space="preserve"> </w:t>
      </w:r>
      <w:proofErr w:type="spellStart"/>
      <w:r>
        <w:t>Voltage</w:t>
      </w:r>
      <w:proofErr w:type="spellEnd"/>
      <w:r>
        <w:t xml:space="preserve"> </w:t>
      </w:r>
      <w:proofErr w:type="spellStart"/>
      <w:r>
        <w:t>Direct</w:t>
      </w:r>
      <w:proofErr w:type="spellEnd"/>
      <w:r>
        <w:t xml:space="preserve"> </w:t>
      </w:r>
      <w:proofErr w:type="spellStart"/>
      <w:r>
        <w:t>Current</w:t>
      </w:r>
      <w:proofErr w:type="spellEnd"/>
      <w:r>
        <w:t xml:space="preserve">) har tagits i drift och påverkat storleken på de referensincidenter som elsystemet måste kunna hantera. HVDC-kablar används för att överföra el långa sträckor med likström, ofta mellan olika länder eller från havsbaserade vindkraftsparker till fastlandet. De gör det möjligt att transportera stora mängder el effektivt, men </w:t>
      </w:r>
      <w:r>
        <w:lastRenderedPageBreak/>
        <w:t>de kan också påverka elsystemets stabilitet vid störningar, vilket ökar behovet av balanseringsåtgärder. Dessutom har försämrad frekvenskvalitet i det nordiska elsystemet lett till att fler justeringar har behövts för att hålla systemet stabilt.</w:t>
      </w:r>
    </w:p>
    <w:p w:rsidR="00090976" w:rsidP="00090976" w:rsidRDefault="00090976" w14:paraId="4EBEDE81" w14:textId="77777777">
      <w:r>
        <w:t>Mellan 2019 och 2022 steg priserna på balanstjänster, vilket till stor del berodde på stigande elpriser. Högre spotpriser ökade kostnaderna för uppreglering, det vill säga att aktivera mer produktion eller minska förbrukningen vid elbrist. Samtidigt har mer instabila elpriser påverkat tillgången på nedreglering, där överskott av el används för att stabilisera nätet. Brist på konkurrens på vissa balansmarknader har också bidragit till högre priser.</w:t>
      </w:r>
    </w:p>
    <w:p w:rsidR="00090976" w:rsidP="00090976" w:rsidRDefault="00090976" w14:paraId="4A9C2FE7" w14:textId="25B89689">
      <w:r>
        <w:t xml:space="preserve">Under 2023 och 2024 har konkurrensen förbättrats, framför allt genom att fler aktörer och nya tekniker, som batterilager och efterfrågeflexibilitet, har tillkommit. Batterilager (BESS, </w:t>
      </w:r>
      <w:proofErr w:type="spellStart"/>
      <w:r>
        <w:t>Battery</w:t>
      </w:r>
      <w:proofErr w:type="spellEnd"/>
      <w:r>
        <w:t xml:space="preserve"> Energy </w:t>
      </w:r>
      <w:proofErr w:type="spellStart"/>
      <w:r>
        <w:t>Storage</w:t>
      </w:r>
      <w:proofErr w:type="spellEnd"/>
      <w:r>
        <w:t xml:space="preserve"> Systems) kan lagra el och snabbt leverera den vid behov, medan efterfrågeflexibilitet innebär att vissa elförbrukare kan minska sin användning när belastningen på nätet är hög. Dessa innovationer har bidragit till stabilare priser inom vissa segment, men den totala kostnaden är fortfarande hög eftersom behovet av balansering fortsätter att öka.</w:t>
      </w:r>
    </w:p>
    <w:p w:rsidR="00090976" w:rsidP="00090976" w:rsidRDefault="00090976" w14:paraId="1B331A45" w14:textId="40192694">
      <w:r>
        <w:t xml:space="preserve">Behovet av balanstjänster förväntas fortsätta öka fram till 2030, och </w:t>
      </w:r>
      <w:proofErr w:type="gramStart"/>
      <w:r>
        <w:t>Svenska</w:t>
      </w:r>
      <w:proofErr w:type="gramEnd"/>
      <w:r>
        <w:t xml:space="preserve"> kraftnät planerar därför att integrera fler marknader genom de europeiska plattformarna PICASSO för </w:t>
      </w:r>
      <w:proofErr w:type="spellStart"/>
      <w:r>
        <w:t>aFRR</w:t>
      </w:r>
      <w:proofErr w:type="spellEnd"/>
      <w:r>
        <w:t xml:space="preserve"> (</w:t>
      </w:r>
      <w:proofErr w:type="spellStart"/>
      <w:r>
        <w:t>automatic</w:t>
      </w:r>
      <w:proofErr w:type="spellEnd"/>
      <w:r>
        <w:t xml:space="preserve"> </w:t>
      </w:r>
      <w:proofErr w:type="spellStart"/>
      <w:r>
        <w:t>Frequency</w:t>
      </w:r>
      <w:proofErr w:type="spellEnd"/>
      <w:r>
        <w:t xml:space="preserve"> Restoration </w:t>
      </w:r>
      <w:proofErr w:type="spellStart"/>
      <w:r>
        <w:t>Reserve</w:t>
      </w:r>
      <w:proofErr w:type="spellEnd"/>
      <w:r>
        <w:t xml:space="preserve">) och MARI för </w:t>
      </w:r>
      <w:proofErr w:type="spellStart"/>
      <w:r>
        <w:t>mFRR</w:t>
      </w:r>
      <w:proofErr w:type="spellEnd"/>
      <w:r>
        <w:t xml:space="preserve">. PICASSO möjliggör en mer automatiserad reglering av obalanser, medan MARI hanterar manuella justeringar i elsystemet. Dessutom kommer övergången till ett ACE-baserat (Area Control </w:t>
      </w:r>
      <w:proofErr w:type="spellStart"/>
      <w:r>
        <w:t>Error</w:t>
      </w:r>
      <w:proofErr w:type="spellEnd"/>
      <w:r>
        <w:t>)</w:t>
      </w:r>
      <w:r w:rsidR="0073290F">
        <w:rPr>
          <w:rStyle w:val="Fotnotsreferens"/>
        </w:rPr>
        <w:footnoteReference w:id="3"/>
      </w:r>
      <w:r>
        <w:t xml:space="preserve"> balanseringssystem och införandet av 15-minuters tidsupplösning år 2025 att förändra hur kostnaderna fördelas inom elsystemet.</w:t>
      </w:r>
    </w:p>
    <w:p w:rsidR="00856D78" w:rsidP="00516A45" w:rsidRDefault="00856D78" w14:paraId="1EE315D2" w14:textId="08C8DCE1"/>
    <w:p w:rsidR="00856D78" w:rsidP="00856D78" w:rsidRDefault="00856D78" w14:paraId="1CCE5113" w14:textId="4D4B0E49">
      <w:pPr>
        <w:pStyle w:val="Rubrik1"/>
      </w:pPr>
      <w:r>
        <w:t>Källor</w:t>
      </w:r>
    </w:p>
    <w:p w:rsidR="004E5606" w:rsidP="00856D78" w:rsidRDefault="004E5606" w14:paraId="5D8C2B77" w14:textId="01F37BEB">
      <w:pPr>
        <w:pStyle w:val="Fotnotstext"/>
        <w:ind w:left="0" w:firstLine="0"/>
        <w:rPr>
          <w:sz w:val="22"/>
          <w:szCs w:val="22"/>
        </w:rPr>
      </w:pPr>
      <w:r w:rsidRPr="004E5606">
        <w:rPr>
          <w:sz w:val="22"/>
          <w:szCs w:val="22"/>
        </w:rPr>
        <w:t xml:space="preserve">Regeringens proposition 2024/25:48 </w:t>
      </w:r>
      <w:r w:rsidRPr="004E5606">
        <w:rPr>
          <w:i/>
          <w:iCs/>
          <w:sz w:val="22"/>
          <w:szCs w:val="22"/>
        </w:rPr>
        <w:t xml:space="preserve">En kapacitetsmekanism för elmarknaden, </w:t>
      </w:r>
      <w:r w:rsidRPr="004E5606">
        <w:rPr>
          <w:rStyle w:val="Hyperlnk"/>
          <w:sz w:val="22"/>
          <w:szCs w:val="22"/>
        </w:rPr>
        <w:t>https://www.regeringen.se/contentassets/e52425dba1934accb2e893f05ac82561/en-kapacitetsmekanism-for-elmarknaden-prop.-20242548.pdf</w:t>
      </w:r>
    </w:p>
    <w:p w:rsidRPr="00856D78" w:rsidR="00856D78" w:rsidP="00856D78" w:rsidRDefault="00856D78" w14:paraId="58ECEC2D" w14:textId="70E6B3C9">
      <w:pPr>
        <w:pStyle w:val="Fotnotstext"/>
        <w:ind w:left="0" w:firstLine="0"/>
        <w:rPr>
          <w:sz w:val="22"/>
          <w:szCs w:val="22"/>
        </w:rPr>
      </w:pPr>
      <w:r w:rsidRPr="00856D78">
        <w:rPr>
          <w:sz w:val="22"/>
          <w:szCs w:val="22"/>
        </w:rPr>
        <w:t xml:space="preserve">Svenska kraftnät, </w:t>
      </w:r>
      <w:proofErr w:type="spellStart"/>
      <w:r w:rsidRPr="00856D78">
        <w:rPr>
          <w:i/>
          <w:iCs/>
          <w:sz w:val="22"/>
          <w:szCs w:val="22"/>
        </w:rPr>
        <w:t>Balancing</w:t>
      </w:r>
      <w:proofErr w:type="spellEnd"/>
      <w:r w:rsidRPr="00856D78">
        <w:rPr>
          <w:i/>
          <w:iCs/>
          <w:sz w:val="22"/>
          <w:szCs w:val="22"/>
        </w:rPr>
        <w:t xml:space="preserve"> market </w:t>
      </w:r>
      <w:proofErr w:type="spellStart"/>
      <w:r w:rsidRPr="00856D78">
        <w:rPr>
          <w:i/>
          <w:iCs/>
          <w:sz w:val="22"/>
          <w:szCs w:val="22"/>
        </w:rPr>
        <w:t>outlook</w:t>
      </w:r>
      <w:proofErr w:type="spellEnd"/>
      <w:r w:rsidRPr="00856D78">
        <w:rPr>
          <w:i/>
          <w:iCs/>
          <w:sz w:val="22"/>
          <w:szCs w:val="22"/>
        </w:rPr>
        <w:t xml:space="preserve"> (</w:t>
      </w:r>
      <w:r w:rsidRPr="00856D78">
        <w:rPr>
          <w:sz w:val="22"/>
          <w:szCs w:val="22"/>
        </w:rPr>
        <w:t xml:space="preserve">2030 2024-12-19), </w:t>
      </w:r>
      <w:r w:rsidRPr="00856D78">
        <w:rPr>
          <w:rStyle w:val="Hyperlnk"/>
          <w:sz w:val="22"/>
          <w:szCs w:val="22"/>
        </w:rPr>
        <w:t>https://www.svk.se/aktorsportalen/bidra-med-reserver/behov-av-reserver-nu-och-i-framtiden/framtidsrapport-om-balansmarknaderna/</w:t>
      </w:r>
    </w:p>
    <w:p w:rsidRPr="00856D78" w:rsidR="00856D78" w:rsidP="00856D78" w:rsidRDefault="00856D78" w14:paraId="75D3CD5D" w14:textId="77777777">
      <w:pPr>
        <w:pStyle w:val="Fotnotstext"/>
        <w:rPr>
          <w:sz w:val="22"/>
          <w:szCs w:val="22"/>
        </w:rPr>
      </w:pPr>
      <w:r w:rsidRPr="00856D78">
        <w:rPr>
          <w:sz w:val="22"/>
          <w:szCs w:val="22"/>
        </w:rPr>
        <w:t>Svenska kraftnät, mejlkontakt 2025-02-20</w:t>
      </w:r>
    </w:p>
    <w:p w:rsidRPr="00856D78" w:rsidR="00856D78" w:rsidP="004E5606" w:rsidRDefault="00856D78" w14:paraId="062C0961" w14:textId="4873AABA">
      <w:pPr>
        <w:pStyle w:val="Fotnotstext"/>
        <w:tabs>
          <w:tab w:val="clear" w:pos="284"/>
          <w:tab w:val="left" w:pos="142"/>
        </w:tabs>
        <w:ind w:left="0" w:firstLine="0"/>
        <w:rPr>
          <w:sz w:val="22"/>
          <w:szCs w:val="22"/>
        </w:rPr>
      </w:pPr>
      <w:r w:rsidRPr="00856D78">
        <w:rPr>
          <w:sz w:val="22"/>
          <w:szCs w:val="22"/>
        </w:rPr>
        <w:t xml:space="preserve">Svenska kraftnät, Information, </w:t>
      </w:r>
      <w:r w:rsidRPr="00856D78">
        <w:rPr>
          <w:i/>
          <w:iCs/>
          <w:sz w:val="22"/>
          <w:szCs w:val="22"/>
        </w:rPr>
        <w:t>Bidra med reserver</w:t>
      </w:r>
      <w:r w:rsidRPr="00856D78">
        <w:rPr>
          <w:sz w:val="22"/>
          <w:szCs w:val="22"/>
        </w:rPr>
        <w:t xml:space="preserve">, </w:t>
      </w:r>
      <w:hyperlink w:history="1" r:id="rId11">
        <w:r w:rsidRPr="00153F29" w:rsidR="004E5606">
          <w:rPr>
            <w:rStyle w:val="Hyperlnk"/>
            <w:sz w:val="22"/>
            <w:szCs w:val="22"/>
          </w:rPr>
          <w:t>https://www.svk.se/aktorsportalen/bidra-med-reserver/</w:t>
        </w:r>
      </w:hyperlink>
      <w:r>
        <w:rPr>
          <w:sz w:val="22"/>
          <w:szCs w:val="22"/>
        </w:rPr>
        <w:t xml:space="preserve"> </w:t>
      </w:r>
    </w:p>
    <w:p w:rsidRPr="00AA0685" w:rsidR="00AA0685" w:rsidP="00AA0685" w:rsidRDefault="00AA0685" w14:paraId="4CE44817" w14:textId="1643C0D3">
      <w:pPr>
        <w:pStyle w:val="Fotnotstext"/>
        <w:ind w:left="0" w:firstLine="0"/>
        <w:rPr>
          <w:sz w:val="22"/>
          <w:szCs w:val="22"/>
        </w:rPr>
      </w:pPr>
      <w:r w:rsidRPr="00AA0685">
        <w:rPr>
          <w:color w:val="000000"/>
          <w:sz w:val="22"/>
          <w:szCs w:val="22"/>
          <w:shd w:val="clear" w:color="auto" w:fill="FFFFFF"/>
        </w:rPr>
        <w:lastRenderedPageBreak/>
        <w:t xml:space="preserve">Svenska kraftnät, </w:t>
      </w:r>
      <w:r>
        <w:rPr>
          <w:color w:val="000000"/>
          <w:sz w:val="22"/>
          <w:szCs w:val="22"/>
          <w:shd w:val="clear" w:color="auto" w:fill="FFFFFF"/>
        </w:rPr>
        <w:t xml:space="preserve">Kraftsystemstabilitet (om bland annat reaktiv effekt),  </w:t>
      </w:r>
      <w:hyperlink w:history="1" r:id="rId12">
        <w:r w:rsidRPr="00153F29">
          <w:rPr>
            <w:rStyle w:val="Hyperlnk"/>
            <w:sz w:val="22"/>
            <w:szCs w:val="22"/>
            <w:shd w:val="clear" w:color="auto" w:fill="FFFFFF"/>
          </w:rPr>
          <w:t>https://www.svk.se/om-kraftsystemet/om-systemansvaret/kraftsystemstabilitet/</w:t>
        </w:r>
      </w:hyperlink>
      <w:r>
        <w:rPr>
          <w:color w:val="000000"/>
          <w:sz w:val="22"/>
          <w:szCs w:val="22"/>
          <w:shd w:val="clear" w:color="auto" w:fill="FFFFFF"/>
        </w:rPr>
        <w:t xml:space="preserve"> </w:t>
      </w:r>
    </w:p>
    <w:p w:rsidRPr="00856D78" w:rsidR="00856D78" w:rsidP="00516A45" w:rsidRDefault="00FD1202" w14:paraId="536FE05C" w14:textId="7737D3BD">
      <w:r>
        <w:t xml:space="preserve">Svenska kraftnät, </w:t>
      </w:r>
      <w:r w:rsidRPr="00FD1202">
        <w:rPr>
          <w:i/>
          <w:iCs/>
        </w:rPr>
        <w:t>Framtida volymbehov</w:t>
      </w:r>
      <w:r>
        <w:t xml:space="preserve">, </w:t>
      </w:r>
      <w:hyperlink w:history="1" r:id="rId13">
        <w:r w:rsidRPr="00C648F2">
          <w:rPr>
            <w:rStyle w:val="Hyperlnk"/>
          </w:rPr>
          <w:t>https://www.svk.se/aktorsportalen/bidra-med-reserver/behov-av-reserver-nu-och-i-framtiden/framtida-volymbehov/?_t_id=g6dKGGXhaFauXEzfb-8jGA%3d%3d&amp;_t_uuid=X58QmObRSny0oIvTp2_snw&amp;_t_q=+Area+Control+Error+(ACE)&amp;_t_tags=siteid%3a40c776fe-7e5c-4838-841c-63d91e5a03c9%2clanguage%3asv%2candquerymatch&amp;_t_hit.id=SVK_WebUI_Models_Pages_GeneralPage/_7ed709d0-81c7-495f-8bcb-aaa86cb0abd7_sv&amp;_t_hit.pos=1</w:t>
        </w:r>
      </w:hyperlink>
      <w:r>
        <w:t xml:space="preserve"> </w:t>
      </w:r>
    </w:p>
    <w:p w:rsidRPr="0073290F" w:rsidR="0073290F" w:rsidP="0073290F" w:rsidRDefault="0073290F" w14:paraId="49507330" w14:textId="7B9B03AA">
      <w:pPr>
        <w:pStyle w:val="Fotnotstext"/>
        <w:ind w:left="0" w:firstLine="0"/>
        <w:rPr>
          <w:sz w:val="22"/>
          <w:szCs w:val="22"/>
        </w:rPr>
      </w:pPr>
      <w:r w:rsidRPr="0073290F">
        <w:rPr>
          <w:color w:val="000000"/>
          <w:sz w:val="22"/>
          <w:szCs w:val="22"/>
          <w:shd w:val="clear" w:color="auto" w:fill="FFFFFF"/>
        </w:rPr>
        <w:t xml:space="preserve">Svenska kraftnät, </w:t>
      </w:r>
      <w:r w:rsidRPr="0073290F">
        <w:rPr>
          <w:i/>
          <w:iCs/>
          <w:color w:val="000000"/>
          <w:sz w:val="22"/>
          <w:szCs w:val="22"/>
          <w:shd w:val="clear" w:color="auto" w:fill="FFFFFF"/>
        </w:rPr>
        <w:t>Kraftsystemstabilitet</w:t>
      </w:r>
      <w:r w:rsidRPr="0073290F">
        <w:rPr>
          <w:color w:val="000000"/>
          <w:sz w:val="22"/>
          <w:szCs w:val="22"/>
          <w:shd w:val="clear" w:color="auto" w:fill="FFFFFF"/>
        </w:rPr>
        <w:t xml:space="preserve">, </w:t>
      </w:r>
      <w:r w:rsidRPr="0073290F">
        <w:rPr>
          <w:rStyle w:val="Hyperlnk"/>
          <w:sz w:val="22"/>
          <w:szCs w:val="22"/>
          <w:shd w:val="clear" w:color="auto" w:fill="FFFFFF"/>
        </w:rPr>
        <w:t>https://www.svk.se/om-kraftsystemet/om-systemansvaret/kraftsystemstabilitet/</w:t>
      </w:r>
    </w:p>
    <w:p w:rsidRPr="00856D78" w:rsidR="00856D78" w:rsidP="00516A45" w:rsidRDefault="00856D78" w14:paraId="1CB5B707" w14:textId="77777777"/>
    <w:p w:rsidRPr="00856D78" w:rsidR="005D15B4" w:rsidRDefault="005D15B4" w14:paraId="7903BF92" w14:textId="3241A1D7">
      <w:pPr>
        <w:tabs>
          <w:tab w:val="clear" w:pos="284"/>
        </w:tabs>
        <w:spacing w:after="0" w:line="240" w:lineRule="auto"/>
      </w:pPr>
      <w:r w:rsidRPr="00856D78">
        <w:br w:type="page"/>
      </w:r>
    </w:p>
    <w:p w:rsidR="005D15B4" w:rsidP="005D15B4" w:rsidRDefault="005D15B4" w14:paraId="2D9CFF34" w14:textId="71BB2866">
      <w:pPr>
        <w:pStyle w:val="Rubrik1"/>
      </w:pPr>
      <w:bookmarkStart w:name="_Toc191458646" w:id="5"/>
      <w:r>
        <w:lastRenderedPageBreak/>
        <w:t>Bilaga</w:t>
      </w:r>
      <w:r w:rsidR="00BC72E1">
        <w:rPr>
          <w:rStyle w:val="Fotnotsreferens"/>
        </w:rPr>
        <w:footnoteReference w:id="4"/>
      </w:r>
      <w:bookmarkEnd w:id="5"/>
    </w:p>
    <w:p w:rsidRPr="00F4038E" w:rsidR="005D15B4" w:rsidP="005D15B4" w:rsidRDefault="005D15B4" w14:paraId="61D97CD5" w14:textId="77777777">
      <w:pPr>
        <w:tabs>
          <w:tab w:val="clear" w:pos="284"/>
        </w:tabs>
        <w:spacing w:before="100" w:beforeAutospacing="1" w:after="100" w:afterAutospacing="1"/>
        <w:rPr>
          <w:sz w:val="24"/>
          <w:szCs w:val="24"/>
        </w:rPr>
      </w:pPr>
      <w:r w:rsidRPr="00F4038E">
        <w:rPr>
          <w:sz w:val="24"/>
          <w:szCs w:val="24"/>
        </w:rPr>
        <w:t xml:space="preserve">Svenska kraftnät ansvarar för att upprätthålla balansen i det svenska elsystemet genom olika </w:t>
      </w:r>
      <w:r w:rsidRPr="00F4038E">
        <w:rPr>
          <w:i/>
          <w:iCs/>
          <w:sz w:val="24"/>
          <w:szCs w:val="24"/>
        </w:rPr>
        <w:t>balanstjänster</w:t>
      </w:r>
      <w:r w:rsidRPr="00F4038E">
        <w:rPr>
          <w:sz w:val="24"/>
          <w:szCs w:val="24"/>
        </w:rPr>
        <w:t>. Dessa tjänster används för att säkerställa att elproduktionen alltid motsvarar elförbrukningen i realtid och att frekvensen i elnätet hålls stabil vid 50 Hz. Dessa tjänster säkerställer att det svenska elsystemet är stabilt, tillförlitligt och redo att hantera störningar i produktion eller konsumtion.</w:t>
      </w:r>
      <w:r>
        <w:rPr>
          <w:sz w:val="24"/>
          <w:szCs w:val="24"/>
        </w:rPr>
        <w:t xml:space="preserve"> </w:t>
      </w:r>
      <w:r w:rsidRPr="00F4038E">
        <w:rPr>
          <w:sz w:val="24"/>
          <w:szCs w:val="24"/>
        </w:rPr>
        <w:t>Nedan är en översikt över de huvudsakliga balanstjänsterna:</w:t>
      </w:r>
    </w:p>
    <w:p w:rsidRPr="00231E41" w:rsidR="005D15B4" w:rsidP="000A5408" w:rsidRDefault="005D15B4" w14:paraId="6F96E658" w14:textId="77777777">
      <w:pPr>
        <w:spacing w:after="0"/>
      </w:pPr>
      <w:r w:rsidRPr="00231E41">
        <w:rPr>
          <w:b/>
          <w:bCs/>
        </w:rPr>
        <w:t>1. Frekvenshållningsreserver (FCR)</w:t>
      </w:r>
    </w:p>
    <w:p w:rsidRPr="00D23EC7" w:rsidR="005D15B4" w:rsidP="000A5408" w:rsidRDefault="005D15B4" w14:paraId="0B0FBE8D" w14:textId="77777777">
      <w:pPr>
        <w:tabs>
          <w:tab w:val="clear" w:pos="284"/>
        </w:tabs>
        <w:spacing w:after="0"/>
        <w:rPr>
          <w:sz w:val="24"/>
          <w:szCs w:val="24"/>
        </w:rPr>
      </w:pPr>
      <w:r w:rsidRPr="00F4038E">
        <w:t>Frekvenshållningsreserver används för att snabbt korrigera obalanser i elsystemet genom att justera produktionen eller förbrukningen inom sekunder.</w:t>
      </w:r>
    </w:p>
    <w:p w:rsidRPr="00F4038E" w:rsidR="005D15B4" w:rsidP="00D23EC7" w:rsidRDefault="005D15B4" w14:paraId="760DCF02" w14:textId="77777777">
      <w:pPr>
        <w:numPr>
          <w:ilvl w:val="0"/>
          <w:numId w:val="26"/>
        </w:numPr>
        <w:tabs>
          <w:tab w:val="clear" w:pos="284"/>
        </w:tabs>
        <w:spacing w:after="0" w:line="240" w:lineRule="auto"/>
        <w:ind w:left="709"/>
        <w:rPr>
          <w:sz w:val="24"/>
          <w:szCs w:val="24"/>
        </w:rPr>
      </w:pPr>
      <w:r w:rsidRPr="00F4038E">
        <w:rPr>
          <w:i/>
          <w:iCs/>
          <w:sz w:val="24"/>
          <w:szCs w:val="24"/>
        </w:rPr>
        <w:t>FCR-N (Normaldriftsreserv):</w:t>
      </w:r>
      <w:r w:rsidRPr="00F4038E">
        <w:rPr>
          <w:sz w:val="24"/>
          <w:szCs w:val="24"/>
        </w:rPr>
        <w:t xml:space="preserve"> Hanterar små variationer i frekvensen och aktiveras automatiskt inom sekunder.</w:t>
      </w:r>
    </w:p>
    <w:p w:rsidRPr="00F4038E" w:rsidR="005D15B4" w:rsidP="005D15B4" w:rsidRDefault="005D15B4" w14:paraId="0ACB6AE1" w14:textId="77777777">
      <w:pPr>
        <w:numPr>
          <w:ilvl w:val="0"/>
          <w:numId w:val="26"/>
        </w:numPr>
        <w:tabs>
          <w:tab w:val="clear" w:pos="284"/>
        </w:tabs>
        <w:spacing w:before="100" w:beforeAutospacing="1" w:after="100" w:afterAutospacing="1" w:line="240" w:lineRule="auto"/>
        <w:rPr>
          <w:sz w:val="24"/>
          <w:szCs w:val="24"/>
        </w:rPr>
      </w:pPr>
      <w:r w:rsidRPr="00F4038E">
        <w:rPr>
          <w:i/>
          <w:iCs/>
          <w:sz w:val="24"/>
          <w:szCs w:val="24"/>
        </w:rPr>
        <w:t>FCR-D (Störningsreserv)</w:t>
      </w:r>
      <w:r w:rsidRPr="00F4038E">
        <w:rPr>
          <w:sz w:val="24"/>
          <w:szCs w:val="24"/>
        </w:rPr>
        <w:t>: Används vid större avvikelser i frekvens (exempelvis efter en större störning i nätet) och delas in i:</w:t>
      </w:r>
    </w:p>
    <w:p w:rsidRPr="00F4038E" w:rsidR="005D15B4" w:rsidP="005D15B4" w:rsidRDefault="005D15B4" w14:paraId="38CFE3A0" w14:textId="77777777">
      <w:pPr>
        <w:numPr>
          <w:ilvl w:val="1"/>
          <w:numId w:val="26"/>
        </w:numPr>
        <w:tabs>
          <w:tab w:val="clear" w:pos="284"/>
        </w:tabs>
        <w:spacing w:before="100" w:beforeAutospacing="1" w:after="100" w:afterAutospacing="1" w:line="240" w:lineRule="auto"/>
        <w:rPr>
          <w:sz w:val="24"/>
          <w:szCs w:val="24"/>
        </w:rPr>
      </w:pPr>
      <w:r w:rsidRPr="00F4038E">
        <w:rPr>
          <w:i/>
          <w:iCs/>
          <w:sz w:val="24"/>
          <w:szCs w:val="24"/>
        </w:rPr>
        <w:t>FCR-D uppreglering</w:t>
      </w:r>
      <w:r w:rsidRPr="00F4038E">
        <w:rPr>
          <w:sz w:val="24"/>
          <w:szCs w:val="24"/>
        </w:rPr>
        <w:t>: Ökar produktionen eller minskar förbrukningen.</w:t>
      </w:r>
    </w:p>
    <w:p w:rsidRPr="00F4038E" w:rsidR="005D15B4" w:rsidP="005D15B4" w:rsidRDefault="005D15B4" w14:paraId="1A5C3935" w14:textId="77777777">
      <w:pPr>
        <w:numPr>
          <w:ilvl w:val="1"/>
          <w:numId w:val="26"/>
        </w:numPr>
        <w:tabs>
          <w:tab w:val="clear" w:pos="284"/>
        </w:tabs>
        <w:spacing w:before="100" w:beforeAutospacing="1" w:after="100" w:afterAutospacing="1" w:line="240" w:lineRule="auto"/>
        <w:rPr>
          <w:sz w:val="24"/>
          <w:szCs w:val="24"/>
        </w:rPr>
      </w:pPr>
      <w:r w:rsidRPr="00F4038E">
        <w:rPr>
          <w:i/>
          <w:iCs/>
          <w:sz w:val="24"/>
          <w:szCs w:val="24"/>
        </w:rPr>
        <w:t>FCR-D nedreglering</w:t>
      </w:r>
      <w:r w:rsidRPr="00F4038E">
        <w:rPr>
          <w:sz w:val="24"/>
          <w:szCs w:val="24"/>
        </w:rPr>
        <w:t>: Minskar produktionen eller ökar förbrukningen.</w:t>
      </w:r>
    </w:p>
    <w:p w:rsidRPr="00231E41" w:rsidR="005D15B4" w:rsidP="005D15B4" w:rsidRDefault="005D15B4" w14:paraId="5F0B760D" w14:textId="77777777">
      <w:pPr>
        <w:tabs>
          <w:tab w:val="clear" w:pos="284"/>
        </w:tabs>
        <w:spacing w:after="0"/>
        <w:outlineLvl w:val="2"/>
        <w:rPr>
          <w:b/>
          <w:bCs/>
        </w:rPr>
      </w:pPr>
      <w:bookmarkStart w:name="_Toc191458647" w:id="6"/>
      <w:r w:rsidRPr="00231E41">
        <w:rPr>
          <w:b/>
          <w:bCs/>
        </w:rPr>
        <w:t>2. Automatisk frekvensåterställningsreserv (</w:t>
      </w:r>
      <w:proofErr w:type="spellStart"/>
      <w:r w:rsidRPr="00231E41">
        <w:rPr>
          <w:b/>
          <w:bCs/>
        </w:rPr>
        <w:t>aFRR</w:t>
      </w:r>
      <w:proofErr w:type="spellEnd"/>
      <w:r w:rsidRPr="00231E41">
        <w:rPr>
          <w:b/>
          <w:bCs/>
        </w:rPr>
        <w:t>)</w:t>
      </w:r>
      <w:bookmarkEnd w:id="6"/>
    </w:p>
    <w:p w:rsidRPr="00F4038E" w:rsidR="005D15B4" w:rsidP="005D15B4" w:rsidRDefault="005D15B4" w14:paraId="55BCBBB8" w14:textId="77777777">
      <w:pPr>
        <w:numPr>
          <w:ilvl w:val="0"/>
          <w:numId w:val="27"/>
        </w:numPr>
        <w:tabs>
          <w:tab w:val="clear" w:pos="284"/>
        </w:tabs>
        <w:spacing w:after="0" w:line="240" w:lineRule="auto"/>
        <w:rPr>
          <w:sz w:val="24"/>
          <w:szCs w:val="24"/>
        </w:rPr>
      </w:pPr>
      <w:r w:rsidRPr="00F4038E">
        <w:rPr>
          <w:sz w:val="24"/>
          <w:szCs w:val="24"/>
        </w:rPr>
        <w:t>Aktiveras automatiskt vid större obalanser i systemet för att återställa frekvensen mot 50 Hz.</w:t>
      </w:r>
    </w:p>
    <w:p w:rsidRPr="00F4038E" w:rsidR="005D15B4" w:rsidP="005D15B4" w:rsidRDefault="005D15B4" w14:paraId="447A6A5E" w14:textId="77777777">
      <w:pPr>
        <w:numPr>
          <w:ilvl w:val="0"/>
          <w:numId w:val="27"/>
        </w:numPr>
        <w:tabs>
          <w:tab w:val="clear" w:pos="284"/>
        </w:tabs>
        <w:spacing w:before="100" w:beforeAutospacing="1" w:after="100" w:afterAutospacing="1" w:line="240" w:lineRule="auto"/>
        <w:rPr>
          <w:sz w:val="24"/>
          <w:szCs w:val="24"/>
        </w:rPr>
      </w:pPr>
      <w:r w:rsidRPr="00F4038E">
        <w:rPr>
          <w:sz w:val="24"/>
          <w:szCs w:val="24"/>
        </w:rPr>
        <w:t>Används för att stabilisera systemet efter att FCR har agerat.</w:t>
      </w:r>
    </w:p>
    <w:p w:rsidRPr="00231E41" w:rsidR="005D15B4" w:rsidP="005D15B4" w:rsidRDefault="005D15B4" w14:paraId="274F80E6" w14:textId="77777777">
      <w:pPr>
        <w:tabs>
          <w:tab w:val="clear" w:pos="284"/>
        </w:tabs>
        <w:spacing w:after="0"/>
        <w:outlineLvl w:val="2"/>
        <w:rPr>
          <w:b/>
          <w:bCs/>
        </w:rPr>
      </w:pPr>
      <w:bookmarkStart w:name="_Toc191458648" w:id="7"/>
      <w:r w:rsidRPr="00231E41">
        <w:rPr>
          <w:b/>
          <w:bCs/>
        </w:rPr>
        <w:t>3. Manuell frekvensåterställningsreserv (</w:t>
      </w:r>
      <w:proofErr w:type="spellStart"/>
      <w:r w:rsidRPr="00231E41">
        <w:rPr>
          <w:b/>
          <w:bCs/>
        </w:rPr>
        <w:t>mFRR</w:t>
      </w:r>
      <w:proofErr w:type="spellEnd"/>
      <w:r w:rsidRPr="00231E41">
        <w:rPr>
          <w:b/>
          <w:bCs/>
        </w:rPr>
        <w:t>)</w:t>
      </w:r>
      <w:bookmarkEnd w:id="7"/>
    </w:p>
    <w:p w:rsidRPr="00F4038E" w:rsidR="005D15B4" w:rsidP="005D15B4" w:rsidRDefault="005D15B4" w14:paraId="3010CED9" w14:textId="77777777">
      <w:pPr>
        <w:numPr>
          <w:ilvl w:val="0"/>
          <w:numId w:val="28"/>
        </w:numPr>
        <w:tabs>
          <w:tab w:val="clear" w:pos="284"/>
        </w:tabs>
        <w:spacing w:after="0" w:line="240" w:lineRule="auto"/>
        <w:rPr>
          <w:sz w:val="24"/>
          <w:szCs w:val="24"/>
        </w:rPr>
      </w:pPr>
      <w:r w:rsidRPr="00F4038E">
        <w:rPr>
          <w:sz w:val="24"/>
          <w:szCs w:val="24"/>
        </w:rPr>
        <w:t xml:space="preserve">Aktiveras manuellt av </w:t>
      </w:r>
      <w:proofErr w:type="gramStart"/>
      <w:r w:rsidRPr="00F4038E">
        <w:rPr>
          <w:sz w:val="24"/>
          <w:szCs w:val="24"/>
        </w:rPr>
        <w:t>Svenska</w:t>
      </w:r>
      <w:proofErr w:type="gramEnd"/>
      <w:r w:rsidRPr="00F4038E">
        <w:rPr>
          <w:sz w:val="24"/>
          <w:szCs w:val="24"/>
        </w:rPr>
        <w:t xml:space="preserve"> kraftnät för att korrigera större obalanser i elsystemet.</w:t>
      </w:r>
    </w:p>
    <w:p w:rsidRPr="00F4038E" w:rsidR="005D15B4" w:rsidP="005D15B4" w:rsidRDefault="005D15B4" w14:paraId="0FDC25C3" w14:textId="77777777">
      <w:pPr>
        <w:numPr>
          <w:ilvl w:val="0"/>
          <w:numId w:val="28"/>
        </w:numPr>
        <w:tabs>
          <w:tab w:val="clear" w:pos="284"/>
        </w:tabs>
        <w:spacing w:before="100" w:beforeAutospacing="1" w:after="100" w:afterAutospacing="1" w:line="240" w:lineRule="auto"/>
        <w:rPr>
          <w:sz w:val="24"/>
          <w:szCs w:val="24"/>
        </w:rPr>
      </w:pPr>
      <w:r w:rsidRPr="00F4038E">
        <w:rPr>
          <w:sz w:val="24"/>
          <w:szCs w:val="24"/>
        </w:rPr>
        <w:t>Upphandlas dagligen och används vid behov för att hantera större frekvensavvikelser.</w:t>
      </w:r>
    </w:p>
    <w:p w:rsidRPr="00231E41" w:rsidR="005D15B4" w:rsidP="005D15B4" w:rsidRDefault="005D15B4" w14:paraId="0BA175E5" w14:textId="23610237">
      <w:pPr>
        <w:tabs>
          <w:tab w:val="clear" w:pos="284"/>
        </w:tabs>
        <w:spacing w:after="0"/>
        <w:outlineLvl w:val="2"/>
        <w:rPr>
          <w:b/>
          <w:bCs/>
        </w:rPr>
      </w:pPr>
      <w:bookmarkStart w:name="_Toc191458649" w:id="8"/>
      <w:r w:rsidRPr="00231E41">
        <w:rPr>
          <w:b/>
          <w:bCs/>
        </w:rPr>
        <w:t xml:space="preserve">4. Strategisk reserv (upphör </w:t>
      </w:r>
      <w:r w:rsidR="00231E41">
        <w:rPr>
          <w:b/>
          <w:bCs/>
        </w:rPr>
        <w:t xml:space="preserve">15 </w:t>
      </w:r>
      <w:r w:rsidRPr="00231E41">
        <w:rPr>
          <w:b/>
          <w:bCs/>
        </w:rPr>
        <w:t>mars 2025)</w:t>
      </w:r>
      <w:r w:rsidRPr="00231E41">
        <w:rPr>
          <w:rStyle w:val="Fotnotsreferens"/>
          <w:b/>
          <w:bCs/>
        </w:rPr>
        <w:footnoteReference w:id="5"/>
      </w:r>
      <w:bookmarkEnd w:id="8"/>
    </w:p>
    <w:p w:rsidRPr="00F4038E" w:rsidR="005D15B4" w:rsidP="005D15B4" w:rsidRDefault="005D15B4" w14:paraId="4C3493AE" w14:textId="77777777">
      <w:pPr>
        <w:numPr>
          <w:ilvl w:val="0"/>
          <w:numId w:val="29"/>
        </w:numPr>
        <w:tabs>
          <w:tab w:val="clear" w:pos="284"/>
        </w:tabs>
        <w:spacing w:after="0" w:line="240" w:lineRule="auto"/>
        <w:rPr>
          <w:sz w:val="24"/>
          <w:szCs w:val="24"/>
        </w:rPr>
      </w:pPr>
      <w:r w:rsidRPr="00F4038E">
        <w:rPr>
          <w:sz w:val="24"/>
          <w:szCs w:val="24"/>
        </w:rPr>
        <w:t>En extra reservkapacitet som kan aktiveras vid kritiska situationer under vinterhalvåret.</w:t>
      </w:r>
    </w:p>
    <w:p w:rsidR="005D15B4" w:rsidP="005D15B4" w:rsidRDefault="005D15B4" w14:paraId="18124A9D" w14:textId="37E2DA25">
      <w:pPr>
        <w:numPr>
          <w:ilvl w:val="0"/>
          <w:numId w:val="29"/>
        </w:numPr>
        <w:tabs>
          <w:tab w:val="clear" w:pos="284"/>
        </w:tabs>
        <w:spacing w:before="100" w:beforeAutospacing="1" w:after="100" w:afterAutospacing="1" w:line="240" w:lineRule="auto"/>
        <w:rPr>
          <w:sz w:val="24"/>
          <w:szCs w:val="24"/>
        </w:rPr>
      </w:pPr>
      <w:r w:rsidRPr="00F4038E">
        <w:rPr>
          <w:sz w:val="24"/>
          <w:szCs w:val="24"/>
        </w:rPr>
        <w:lastRenderedPageBreak/>
        <w:t>Består av extra kraftproduktion och förbrukningsminskningar.</w:t>
      </w:r>
    </w:p>
    <w:p w:rsidRPr="00231E41" w:rsidR="005D15B4" w:rsidP="0099378B" w:rsidRDefault="005D15B4" w14:paraId="10C518B1" w14:textId="77777777">
      <w:pPr>
        <w:tabs>
          <w:tab w:val="clear" w:pos="284"/>
        </w:tabs>
        <w:spacing w:after="0"/>
        <w:outlineLvl w:val="2"/>
        <w:rPr>
          <w:b/>
          <w:bCs/>
        </w:rPr>
      </w:pPr>
      <w:bookmarkStart w:name="_Toc191458650" w:id="9"/>
      <w:r w:rsidRPr="00231E41">
        <w:rPr>
          <w:b/>
          <w:bCs/>
        </w:rPr>
        <w:t>5. Balansansvar och balansmarknad</w:t>
      </w:r>
      <w:bookmarkEnd w:id="9"/>
    </w:p>
    <w:p w:rsidRPr="00F4038E" w:rsidR="005D15B4" w:rsidP="0099378B" w:rsidRDefault="005D15B4" w14:paraId="745105DB" w14:textId="77777777">
      <w:pPr>
        <w:numPr>
          <w:ilvl w:val="0"/>
          <w:numId w:val="30"/>
        </w:numPr>
        <w:tabs>
          <w:tab w:val="clear" w:pos="284"/>
        </w:tabs>
        <w:spacing w:after="0" w:line="240" w:lineRule="auto"/>
        <w:ind w:left="851" w:hanging="567"/>
        <w:rPr>
          <w:sz w:val="24"/>
          <w:szCs w:val="24"/>
        </w:rPr>
      </w:pPr>
      <w:r w:rsidRPr="0099378B">
        <w:rPr>
          <w:i/>
          <w:iCs/>
          <w:sz w:val="24"/>
          <w:szCs w:val="24"/>
        </w:rPr>
        <w:t xml:space="preserve">Balansansvariga aktörer (BRP, </w:t>
      </w:r>
      <w:proofErr w:type="spellStart"/>
      <w:r w:rsidRPr="0099378B">
        <w:rPr>
          <w:i/>
          <w:iCs/>
          <w:sz w:val="24"/>
          <w:szCs w:val="24"/>
        </w:rPr>
        <w:t>Balance</w:t>
      </w:r>
      <w:proofErr w:type="spellEnd"/>
      <w:r w:rsidRPr="0099378B">
        <w:rPr>
          <w:i/>
          <w:iCs/>
          <w:sz w:val="24"/>
          <w:szCs w:val="24"/>
        </w:rPr>
        <w:t xml:space="preserve"> </w:t>
      </w:r>
      <w:proofErr w:type="spellStart"/>
      <w:r w:rsidRPr="0099378B">
        <w:rPr>
          <w:i/>
          <w:iCs/>
          <w:sz w:val="24"/>
          <w:szCs w:val="24"/>
        </w:rPr>
        <w:t>Responsible</w:t>
      </w:r>
      <w:proofErr w:type="spellEnd"/>
      <w:r w:rsidRPr="0099378B">
        <w:rPr>
          <w:i/>
          <w:iCs/>
          <w:sz w:val="24"/>
          <w:szCs w:val="24"/>
        </w:rPr>
        <w:t xml:space="preserve"> </w:t>
      </w:r>
      <w:proofErr w:type="spellStart"/>
      <w:r w:rsidRPr="0099378B">
        <w:rPr>
          <w:i/>
          <w:iCs/>
          <w:sz w:val="24"/>
          <w:szCs w:val="24"/>
        </w:rPr>
        <w:t>Parties</w:t>
      </w:r>
      <w:proofErr w:type="spellEnd"/>
      <w:r w:rsidRPr="0099378B">
        <w:rPr>
          <w:i/>
          <w:iCs/>
          <w:sz w:val="24"/>
          <w:szCs w:val="24"/>
        </w:rPr>
        <w:t>):</w:t>
      </w:r>
      <w:r w:rsidRPr="00F4038E">
        <w:rPr>
          <w:sz w:val="24"/>
          <w:szCs w:val="24"/>
        </w:rPr>
        <w:t xml:space="preserve"> Företag som har ansvar för att deras elproduktion och förbrukning är i balans.</w:t>
      </w:r>
    </w:p>
    <w:p w:rsidRPr="00F4038E" w:rsidR="005D15B4" w:rsidP="005D15B4" w:rsidRDefault="005D15B4" w14:paraId="635A8E4E" w14:textId="77777777">
      <w:pPr>
        <w:numPr>
          <w:ilvl w:val="0"/>
          <w:numId w:val="30"/>
        </w:numPr>
        <w:tabs>
          <w:tab w:val="clear" w:pos="284"/>
        </w:tabs>
        <w:spacing w:before="100" w:beforeAutospacing="1" w:after="100" w:afterAutospacing="1" w:line="240" w:lineRule="auto"/>
        <w:rPr>
          <w:sz w:val="24"/>
          <w:szCs w:val="24"/>
        </w:rPr>
      </w:pPr>
      <w:r w:rsidRPr="00F4038E">
        <w:rPr>
          <w:i/>
          <w:iCs/>
          <w:sz w:val="24"/>
          <w:szCs w:val="24"/>
        </w:rPr>
        <w:t>Balansmarknaden:</w:t>
      </w:r>
      <w:r w:rsidRPr="00F4038E">
        <w:rPr>
          <w:sz w:val="24"/>
          <w:szCs w:val="24"/>
        </w:rPr>
        <w:t xml:space="preserve"> Marknadsplats där balansansvariga kan justera sina obalanser genom att köpa eller sälja el i realtid.</w:t>
      </w:r>
    </w:p>
    <w:p w:rsidRPr="00231E41" w:rsidR="005D15B4" w:rsidP="0099378B" w:rsidRDefault="005D15B4" w14:paraId="241227F8" w14:textId="77777777">
      <w:pPr>
        <w:tabs>
          <w:tab w:val="clear" w:pos="284"/>
        </w:tabs>
        <w:spacing w:after="0" w:line="0" w:lineRule="atLeast"/>
        <w:outlineLvl w:val="2"/>
        <w:rPr>
          <w:b/>
          <w:bCs/>
        </w:rPr>
      </w:pPr>
      <w:bookmarkStart w:name="_Toc191458651" w:id="10"/>
      <w:r w:rsidRPr="00231E41">
        <w:rPr>
          <w:b/>
          <w:bCs/>
        </w:rPr>
        <w:t>6. Systemtjänster för spänning och stabilitet</w:t>
      </w:r>
      <w:bookmarkEnd w:id="10"/>
    </w:p>
    <w:p w:rsidRPr="00F4038E" w:rsidR="005D15B4" w:rsidP="0099378B" w:rsidRDefault="005D15B4" w14:paraId="67942291" w14:textId="7F7EBC34">
      <w:pPr>
        <w:numPr>
          <w:ilvl w:val="0"/>
          <w:numId w:val="30"/>
        </w:numPr>
        <w:tabs>
          <w:tab w:val="clear" w:pos="284"/>
        </w:tabs>
        <w:spacing w:after="0" w:line="0" w:lineRule="atLeast"/>
        <w:ind w:left="709"/>
        <w:rPr>
          <w:sz w:val="24"/>
          <w:szCs w:val="24"/>
        </w:rPr>
      </w:pPr>
      <w:r w:rsidRPr="00F4038E">
        <w:rPr>
          <w:sz w:val="24"/>
          <w:szCs w:val="24"/>
        </w:rPr>
        <w:t xml:space="preserve">Svenska kraftnät upphandlar även tjänster för </w:t>
      </w:r>
      <w:r w:rsidRPr="00F4038E">
        <w:rPr>
          <w:i/>
          <w:iCs/>
          <w:sz w:val="24"/>
          <w:szCs w:val="24"/>
        </w:rPr>
        <w:t>reaktiv effekt</w:t>
      </w:r>
      <w:r w:rsidRPr="00F4038E">
        <w:rPr>
          <w:sz w:val="24"/>
          <w:szCs w:val="24"/>
        </w:rPr>
        <w:t xml:space="preserve"> </w:t>
      </w:r>
      <w:r w:rsidR="00BC72E1">
        <w:rPr>
          <w:rStyle w:val="Fotnotsreferens"/>
          <w:sz w:val="24"/>
          <w:szCs w:val="24"/>
        </w:rPr>
        <w:footnoteReference w:id="6"/>
      </w:r>
      <w:r w:rsidRPr="00F4038E">
        <w:rPr>
          <w:sz w:val="24"/>
          <w:szCs w:val="24"/>
        </w:rPr>
        <w:t>och andra stabilitetstjänster för att säkerställa nätets funktion vid spänningsvariationer och andra dynamiska utmaningar.</w:t>
      </w:r>
    </w:p>
    <w:bookmarkEnd w:id="0"/>
    <w:p w:rsidRPr="005D15B4" w:rsidR="005D15B4" w:rsidP="00532056" w:rsidRDefault="005D15B4" w14:paraId="180320B9" w14:textId="77777777"/>
    <w:sectPr w:rsidRPr="005D15B4" w:rsidR="005D15B4" w:rsidSect="001866F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567" w:right="3005" w:bottom="851" w:left="1701" w:header="567" w:footer="51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BBD8D" w14:textId="77777777" w:rsidR="0061501B" w:rsidRDefault="0061501B" w:rsidP="00A56189">
      <w:r>
        <w:separator/>
      </w:r>
    </w:p>
  </w:endnote>
  <w:endnote w:type="continuationSeparator" w:id="0">
    <w:p w14:paraId="70D89269" w14:textId="77777777" w:rsidR="0061501B" w:rsidRDefault="0061501B" w:rsidP="00A56189">
      <w:r>
        <w:continuationSeparator/>
      </w:r>
    </w:p>
  </w:endnote>
  <w:endnote w:type="continuationNotice" w:id="1">
    <w:p w14:paraId="2061A2E2" w14:textId="77777777" w:rsidR="00EE3297" w:rsidRDefault="00EE32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D1DE" w14:textId="77777777" w:rsidR="0061501B" w:rsidRDefault="0061501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26" w:type="dxa"/>
      <w:tblLayout w:type="fixed"/>
      <w:tblCellMar>
        <w:left w:w="70" w:type="dxa"/>
        <w:right w:w="70" w:type="dxa"/>
      </w:tblCellMar>
      <w:tblLook w:val="0000" w:firstRow="0" w:lastRow="0" w:firstColumn="0" w:lastColumn="0" w:noHBand="0" w:noVBand="0"/>
    </w:tblPr>
    <w:tblGrid>
      <w:gridCol w:w="9426"/>
    </w:tblGrid>
    <w:tr w:rsidR="0056553D" w:rsidRPr="002B4F43" w14:paraId="6C5C714F" w14:textId="77777777" w:rsidTr="00E142A4">
      <w:trPr>
        <w:trHeight w:hRule="exact" w:val="1077"/>
      </w:trPr>
      <w:tc>
        <w:tcPr>
          <w:tcW w:w="9426" w:type="dxa"/>
        </w:tcPr>
        <w:p w14:paraId="4742E51D" w14:textId="77777777" w:rsidR="0056553D" w:rsidRPr="002B4F43" w:rsidRDefault="0056553D" w:rsidP="00E142A4">
          <w:pPr>
            <w:pStyle w:val="NormalKompakt"/>
            <w:spacing w:before="120"/>
            <w:rPr>
              <w:rFonts w:ascii="GillSans Pro for Riksdagen Lt" w:hAnsi="GillSans Pro for Riksdagen Lt"/>
              <w:lang w:val="sv-SE"/>
            </w:rPr>
          </w:pPr>
        </w:p>
      </w:tc>
    </w:tr>
  </w:tbl>
  <w:p w14:paraId="3173D37E" w14:textId="77777777" w:rsidR="0056553D" w:rsidRPr="002B4F43" w:rsidRDefault="0056553D" w:rsidP="006F6C65">
    <w:pPr>
      <w:pStyle w:val="KantHuvud"/>
      <w:framePr w:w="726" w:h="544" w:hRule="exact" w:wrap="around" w:x="10700" w:y="15934"/>
      <w:rPr>
        <w:rFonts w:ascii="GillSans Pro for Riksdagen Lt" w:hAnsi="GillSans Pro for Riksdagen Lt"/>
      </w:rPr>
    </w:pPr>
    <w:r w:rsidRPr="002B4F43">
      <w:rPr>
        <w:rStyle w:val="Sidnummer"/>
      </w:rPr>
      <w:fldChar w:fldCharType="begin"/>
    </w:r>
    <w:r w:rsidRPr="002B4F43">
      <w:rPr>
        <w:rStyle w:val="Sidnummer"/>
      </w:rPr>
      <w:instrText xml:space="preserve"> PAGE </w:instrText>
    </w:r>
    <w:r w:rsidRPr="002B4F43">
      <w:rPr>
        <w:rStyle w:val="Sidnummer"/>
      </w:rPr>
      <w:fldChar w:fldCharType="separate"/>
    </w:r>
    <w:r w:rsidR="00810759">
      <w:rPr>
        <w:rStyle w:val="Sidnummer"/>
        <w:noProof/>
      </w:rPr>
      <w:t>2</w:t>
    </w:r>
    <w:r w:rsidRPr="002B4F43">
      <w:rPr>
        <w:rStyle w:val="Sidnummer"/>
      </w:rPr>
      <w:fldChar w:fldCharType="end"/>
    </w:r>
    <w:r w:rsidRPr="002B4F43">
      <w:rPr>
        <w:rStyle w:val="Sidnummer"/>
      </w:rPr>
      <w:t xml:space="preserve"> (</w:t>
    </w:r>
    <w:r w:rsidRPr="002B4F43">
      <w:rPr>
        <w:rStyle w:val="Sidnummer"/>
      </w:rPr>
      <w:fldChar w:fldCharType="begin"/>
    </w:r>
    <w:r w:rsidRPr="002B4F43">
      <w:rPr>
        <w:rStyle w:val="Sidnummer"/>
      </w:rPr>
      <w:instrText xml:space="preserve"> )NUMPAGES  \# "0"  \* MERGEFORMAT </w:instrText>
    </w:r>
    <w:r w:rsidRPr="002B4F43">
      <w:rPr>
        <w:rStyle w:val="Sidnummer"/>
      </w:rPr>
      <w:fldChar w:fldCharType="separate"/>
    </w:r>
    <w:r w:rsidRPr="002B4F43">
      <w:rPr>
        <w:rStyle w:val="Sidnummer"/>
        <w:noProof/>
      </w:rPr>
      <w:t>3</w:t>
    </w:r>
    <w:r w:rsidRPr="002B4F43">
      <w:rPr>
        <w:rStyle w:val="Sidnummer"/>
      </w:rPr>
      <w:fldChar w:fldCharType="end"/>
    </w:r>
    <w:r w:rsidRPr="002B4F43">
      <w:rPr>
        <w:rStyle w:val="Sidnummer"/>
      </w:rPr>
      <w:fldChar w:fldCharType="begin"/>
    </w:r>
    <w:r w:rsidRPr="002B4F43">
      <w:rPr>
        <w:rStyle w:val="Sidnummer"/>
      </w:rPr>
      <w:instrText xml:space="preserve"> NUMPAGES  \# "0"  \* MERGEFORMAT </w:instrText>
    </w:r>
    <w:r w:rsidRPr="002B4F43">
      <w:rPr>
        <w:rStyle w:val="Sidnummer"/>
      </w:rPr>
      <w:fldChar w:fldCharType="separate"/>
    </w:r>
    <w:r w:rsidR="0061501B">
      <w:rPr>
        <w:rStyle w:val="Sidnummer"/>
        <w:noProof/>
      </w:rPr>
      <w:t>1</w:t>
    </w:r>
    <w:r w:rsidRPr="002B4F43">
      <w:rPr>
        <w:rStyle w:val="Sidnummer"/>
      </w:rPr>
      <w:fldChar w:fldCharType="end"/>
    </w:r>
    <w:r w:rsidRPr="002B4F43">
      <w:rPr>
        <w:rStyle w:val="Sidnummer"/>
      </w:rPr>
      <w:t>)</w:t>
    </w:r>
  </w:p>
  <w:p w14:paraId="438562EA" w14:textId="77777777" w:rsidR="0056553D" w:rsidRPr="002B4F43" w:rsidRDefault="0056553D" w:rsidP="0080470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26" w:type="dxa"/>
      <w:tblLayout w:type="fixed"/>
      <w:tblCellMar>
        <w:left w:w="0" w:type="dxa"/>
        <w:right w:w="70" w:type="dxa"/>
      </w:tblCellMar>
      <w:tblLook w:val="0000" w:firstRow="0" w:lastRow="0" w:firstColumn="0" w:lastColumn="0" w:noHBand="0" w:noVBand="0"/>
    </w:tblPr>
    <w:tblGrid>
      <w:gridCol w:w="9426"/>
    </w:tblGrid>
    <w:tr w:rsidR="0056553D" w:rsidRPr="00763638" w14:paraId="494F3F12" w14:textId="77777777" w:rsidTr="00E142A4">
      <w:trPr>
        <w:trHeight w:hRule="exact" w:val="964"/>
      </w:trPr>
      <w:tc>
        <w:tcPr>
          <w:tcW w:w="9426" w:type="dxa"/>
        </w:tcPr>
        <w:sdt>
          <w:sdtPr>
            <w:alias w:val="RUT Kontaktuppgifter"/>
            <w:tag w:val="RDF_Rubin_RutKontaktInfo"/>
            <w:id w:val="779454979"/>
            <w:temporary/>
            <w:dataBinding w:xpath="/ns0:properties[1]/documentManagement[1]/ns3:RDF_Rubin_RutKontaktInfo[1]" w:storeItemID="{372EC7C8-69FA-43C4-98C5-99BE863819E2}"/>
            <w:text/>
          </w:sdtPr>
          <w:sdtEndPr/>
          <w:sdtContent>
            <w:p w14:paraId="65911B55" w14:textId="0E57E02D" w:rsidR="0005184C" w:rsidRPr="004633A8" w:rsidRDefault="008723DF" w:rsidP="001866FE">
              <w:pPr>
                <w:pStyle w:val="SidfotBrdtext"/>
                <w:spacing w:before="180"/>
              </w:pPr>
              <w:r>
                <w:t>Sektionen ekonomisk analys • Utredningstjänsten • Tel. 08-786 40 00 • E-post rut@riksdagen.se</w:t>
              </w:r>
            </w:p>
          </w:sdtContent>
        </w:sdt>
        <w:sdt>
          <w:sdtPr>
            <w:rPr>
              <w:rFonts w:ascii="GillSans Pro for Riksdagen Lt" w:hAnsi="GillSans Pro for Riksdagen Lt"/>
              <w:sz w:val="18"/>
              <w:szCs w:val="18"/>
            </w:rPr>
            <w:alias w:val="Adress"/>
            <w:tag w:val="ccAdress"/>
            <w:id w:val="-117919676"/>
            <w:lock w:val="sdtContentLocked"/>
          </w:sdtPr>
          <w:sdtEndPr/>
          <w:sdtContent>
            <w:p w14:paraId="0AD28544" w14:textId="4A1B96F0" w:rsidR="0056553D" w:rsidRPr="00E337E7" w:rsidRDefault="008723DF" w:rsidP="00283FA3">
              <w:pPr>
                <w:pBdr>
                  <w:top w:val="single" w:sz="4" w:space="3" w:color="auto"/>
                </w:pBdr>
                <w:spacing w:before="100" w:line="220" w:lineRule="exact"/>
              </w:pPr>
              <w:r>
                <w:rPr>
                  <w:rFonts w:ascii="GillSans Pro for Riksdagen Lt" w:hAnsi="GillSans Pro for Riksdagen Lt"/>
                  <w:spacing w:val="12"/>
                  <w:sz w:val="18"/>
                  <w:szCs w:val="18"/>
                </w:rPr>
                <w:t>SVERIGES RIKSDAG   100 12 Stockholm   o   Tfn 08-786 40 00   o   www.riksdagen.se</w:t>
              </w:r>
            </w:p>
          </w:sdtContent>
        </w:sdt>
      </w:tc>
    </w:tr>
  </w:tbl>
  <w:p w14:paraId="00336651" w14:textId="4F24DB55" w:rsidR="0056553D" w:rsidRDefault="0056553D" w:rsidP="00D96322">
    <w:pPr>
      <w:pStyle w:val="KantHuvud"/>
      <w:framePr w:w="726" w:h="544" w:hRule="exact" w:wrap="around" w:x="10700" w:y="15934"/>
    </w:pPr>
    <w:r>
      <w:rPr>
        <w:rStyle w:val="Sidnummer"/>
      </w:rPr>
      <w:fldChar w:fldCharType="begin"/>
    </w:r>
    <w:r>
      <w:rPr>
        <w:rStyle w:val="Sidnummer"/>
      </w:rPr>
      <w:instrText xml:space="preserve"> PAGE </w:instrText>
    </w:r>
    <w:r>
      <w:rPr>
        <w:rStyle w:val="Sidnummer"/>
      </w:rPr>
      <w:fldChar w:fldCharType="separate"/>
    </w:r>
    <w:r w:rsidR="00461351">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"0"  \* MERGEFORMAT </w:instrText>
    </w:r>
    <w:r>
      <w:rPr>
        <w:rStyle w:val="Sidnummer"/>
      </w:rPr>
      <w:fldChar w:fldCharType="separate"/>
    </w:r>
    <w:r>
      <w:rPr>
        <w:rStyle w:val="Sidnummer"/>
        <w:noProof/>
      </w:rPr>
      <w:t>3</w:t>
    </w:r>
    <w:r>
      <w:rPr>
        <w:rStyle w:val="Sidnummer"/>
      </w:rPr>
      <w:fldChar w:fldCharType="end"/>
    </w:r>
    <w:r>
      <w:rPr>
        <w:rStyle w:val="Sidnummer"/>
      </w:rPr>
      <w:fldChar w:fldCharType="begin"/>
    </w:r>
    <w:r>
      <w:rPr>
        <w:rStyle w:val="Sidnummer"/>
      </w:rPr>
      <w:instrText xml:space="preserve"> NUMPAGES  \# "0"  \* MERGEFORMAT </w:instrText>
    </w:r>
    <w:r>
      <w:rPr>
        <w:rStyle w:val="Sidnummer"/>
      </w:rPr>
      <w:fldChar w:fldCharType="separate"/>
    </w:r>
    <w:r w:rsidR="00461351">
      <w:rPr>
        <w:rStyle w:val="Sidnummer"/>
        <w:noProof/>
      </w:rPr>
      <w:t>1</w:t>
    </w:r>
    <w:r>
      <w:rPr>
        <w:rStyle w:val="Sidnummer"/>
      </w:rPr>
      <w:fldChar w:fldCharType="end"/>
    </w:r>
    <w:r>
      <w:rPr>
        <w:rStyle w:val="Sidnummer"/>
      </w:rPr>
      <w:t>)</w:t>
    </w:r>
  </w:p>
  <w:p w14:paraId="4EE8DD8F" w14:textId="77777777" w:rsidR="0056553D" w:rsidRPr="002B4F43" w:rsidRDefault="0056553D" w:rsidP="00A07D21">
    <w:pPr>
      <w:pStyle w:val="Sidfot"/>
      <w:spacing w:after="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F5C07" w14:textId="77777777" w:rsidR="0061501B" w:rsidRDefault="0061501B" w:rsidP="00A56189">
      <w:r>
        <w:separator/>
      </w:r>
    </w:p>
  </w:footnote>
  <w:footnote w:type="continuationSeparator" w:id="0">
    <w:p w14:paraId="2EE45073" w14:textId="77777777" w:rsidR="0061501B" w:rsidRDefault="0061501B" w:rsidP="00A56189">
      <w:r>
        <w:continuationSeparator/>
      </w:r>
    </w:p>
  </w:footnote>
  <w:footnote w:type="continuationNotice" w:id="1">
    <w:p w14:paraId="7866DF67" w14:textId="77777777" w:rsidR="00EE3297" w:rsidRDefault="00EE3297">
      <w:pPr>
        <w:spacing w:after="0" w:line="240" w:lineRule="auto"/>
      </w:pPr>
    </w:p>
  </w:footnote>
  <w:footnote w:id="2">
    <w:p w14:paraId="0EDF9F54" w14:textId="5DE28B46" w:rsidR="00532056" w:rsidRDefault="00532056">
      <w:pPr>
        <w:pStyle w:val="Fotnotstext"/>
      </w:pPr>
      <w:r>
        <w:rPr>
          <w:rStyle w:val="Fotnotsreferens"/>
        </w:rPr>
        <w:footnoteRef/>
      </w:r>
      <w:r>
        <w:t xml:space="preserve"> Avsnittet bygger främst på information från Svenska kraftnät, mejlkontakt 2025-02-20</w:t>
      </w:r>
      <w:r w:rsidR="00CA152B">
        <w:t xml:space="preserve"> samt SVK:s rapport </w:t>
      </w:r>
      <w:r w:rsidR="00CA152B" w:rsidRPr="00CA152B">
        <w:rPr>
          <w:i/>
          <w:iCs/>
        </w:rPr>
        <w:t xml:space="preserve">Balancing market outlook </w:t>
      </w:r>
      <w:r w:rsidR="00CA152B">
        <w:rPr>
          <w:i/>
          <w:iCs/>
        </w:rPr>
        <w:t>(</w:t>
      </w:r>
      <w:r w:rsidR="00CA152B" w:rsidRPr="00CA152B">
        <w:t>2030 2024-12-19</w:t>
      </w:r>
      <w:r w:rsidR="00CA152B">
        <w:t xml:space="preserve">), </w:t>
      </w:r>
      <w:hyperlink r:id="rId1" w:history="1">
        <w:r w:rsidR="00BC293F" w:rsidRPr="00BC293F">
          <w:rPr>
            <w:rStyle w:val="Hyperlnk"/>
          </w:rPr>
          <w:t>länk</w:t>
        </w:r>
      </w:hyperlink>
    </w:p>
  </w:footnote>
  <w:footnote w:id="3">
    <w:p w14:paraId="1FE9DE13" w14:textId="578F2D6B" w:rsidR="0073290F" w:rsidRPr="0073290F" w:rsidRDefault="0073290F" w:rsidP="0073290F">
      <w:pPr>
        <w:rPr>
          <w:sz w:val="18"/>
          <w:szCs w:val="18"/>
        </w:rPr>
      </w:pPr>
      <w:r w:rsidRPr="0073290F">
        <w:rPr>
          <w:rStyle w:val="Fotnotsreferens"/>
          <w:sz w:val="18"/>
          <w:szCs w:val="18"/>
        </w:rPr>
        <w:footnoteRef/>
      </w:r>
      <w:r w:rsidRPr="0073290F">
        <w:rPr>
          <w:sz w:val="18"/>
          <w:szCs w:val="18"/>
        </w:rPr>
        <w:t xml:space="preserve"> </w:t>
      </w:r>
      <w:r>
        <w:rPr>
          <w:sz w:val="18"/>
          <w:szCs w:val="18"/>
        </w:rPr>
        <w:t>E</w:t>
      </w:r>
      <w:r w:rsidRPr="0073290F">
        <w:rPr>
          <w:sz w:val="18"/>
          <w:szCs w:val="18"/>
        </w:rPr>
        <w:t>gentligen ska det väl vara MACE, Modern ACE. Fram till nu har balanseringen styrts på den nordiska frekvensen</w:t>
      </w:r>
      <w:r>
        <w:rPr>
          <w:sz w:val="18"/>
          <w:szCs w:val="18"/>
        </w:rPr>
        <w:t>.</w:t>
      </w:r>
      <w:r w:rsidRPr="0073290F">
        <w:rPr>
          <w:sz w:val="18"/>
          <w:szCs w:val="18"/>
        </w:rPr>
        <w:t xml:space="preserve"> MACE innebär att varje elområde i princip ska kunna balanseras var för sig. </w:t>
      </w:r>
      <w:r>
        <w:rPr>
          <w:sz w:val="18"/>
          <w:szCs w:val="18"/>
        </w:rPr>
        <w:t xml:space="preserve">Se Svenska kraftnät, </w:t>
      </w:r>
      <w:r w:rsidRPr="0073290F">
        <w:rPr>
          <w:i/>
          <w:iCs/>
          <w:sz w:val="18"/>
          <w:szCs w:val="18"/>
        </w:rPr>
        <w:t>Framtida volymbehov</w:t>
      </w:r>
      <w:r>
        <w:rPr>
          <w:sz w:val="18"/>
          <w:szCs w:val="18"/>
        </w:rPr>
        <w:t xml:space="preserve">, </w:t>
      </w:r>
      <w:hyperlink r:id="rId2" w:history="1">
        <w:r w:rsidRPr="0073290F">
          <w:rPr>
            <w:rStyle w:val="Hyperlnk"/>
            <w:sz w:val="18"/>
            <w:szCs w:val="18"/>
          </w:rPr>
          <w:t>länk</w:t>
        </w:r>
      </w:hyperlink>
    </w:p>
  </w:footnote>
  <w:footnote w:id="4">
    <w:p w14:paraId="3409B768" w14:textId="01BEAFCC" w:rsidR="00BC72E1" w:rsidRDefault="00BC72E1">
      <w:pPr>
        <w:pStyle w:val="Fotnotstext"/>
      </w:pPr>
      <w:r>
        <w:rPr>
          <w:rStyle w:val="Fotnotsreferens"/>
        </w:rPr>
        <w:footnoteRef/>
      </w:r>
      <w:r>
        <w:t xml:space="preserve"> Bilagan bygger på information från Svenska kraftnät. Se </w:t>
      </w:r>
      <w:r w:rsidRPr="00BC72E1">
        <w:rPr>
          <w:i/>
          <w:iCs/>
        </w:rPr>
        <w:t>Bidra med reserver</w:t>
      </w:r>
      <w:r>
        <w:t xml:space="preserve">, </w:t>
      </w:r>
      <w:hyperlink r:id="rId3" w:history="1">
        <w:r w:rsidRPr="00BC72E1">
          <w:rPr>
            <w:rStyle w:val="Hyperlnk"/>
          </w:rPr>
          <w:t>länk</w:t>
        </w:r>
      </w:hyperlink>
    </w:p>
  </w:footnote>
  <w:footnote w:id="5">
    <w:p w14:paraId="54801BDB" w14:textId="7A77BF43" w:rsidR="005D15B4" w:rsidRPr="0010545A" w:rsidRDefault="005D15B4">
      <w:pPr>
        <w:pStyle w:val="Fotnotstext"/>
      </w:pPr>
      <w:r>
        <w:rPr>
          <w:rStyle w:val="Fotnotsreferens"/>
        </w:rPr>
        <w:footnoteRef/>
      </w:r>
      <w:r>
        <w:t xml:space="preserve"> </w:t>
      </w:r>
      <w:r w:rsidR="0010545A">
        <w:t>E</w:t>
      </w:r>
      <w:r w:rsidR="00231E41">
        <w:t xml:space="preserve">ffektreserven </w:t>
      </w:r>
      <w:r w:rsidR="0010545A">
        <w:t xml:space="preserve">upphör </w:t>
      </w:r>
      <w:r w:rsidR="00231E41">
        <w:t xml:space="preserve">den 15 mars 2025 på grund av att den nuvarande lagstiftningen löper ut. För att hantera framtida behov av effektbalans </w:t>
      </w:r>
      <w:r w:rsidR="0010545A">
        <w:t>finns en proposition om</w:t>
      </w:r>
      <w:r w:rsidR="00231E41">
        <w:t xml:space="preserve"> en ny kapacitetsmekanism att införas som ersättning.</w:t>
      </w:r>
      <w:r w:rsidR="0010545A">
        <w:t xml:space="preserve"> Se Regeringens proposition 2024/25:48 </w:t>
      </w:r>
      <w:r w:rsidR="0010545A" w:rsidRPr="0010545A">
        <w:rPr>
          <w:i/>
          <w:iCs/>
        </w:rPr>
        <w:t>En kapacitetsmekanism för elmarknaden</w:t>
      </w:r>
      <w:r w:rsidR="0010545A">
        <w:rPr>
          <w:i/>
          <w:iCs/>
        </w:rPr>
        <w:t xml:space="preserve">, </w:t>
      </w:r>
      <w:hyperlink r:id="rId4" w:history="1">
        <w:r w:rsidR="0010545A" w:rsidRPr="0010545A">
          <w:rPr>
            <w:rStyle w:val="Hyperlnk"/>
          </w:rPr>
          <w:t>länk</w:t>
        </w:r>
      </w:hyperlink>
    </w:p>
  </w:footnote>
  <w:footnote w:id="6">
    <w:p w14:paraId="3C0701F7" w14:textId="10E4BA9F" w:rsidR="00BC72E1" w:rsidRPr="00BC268A" w:rsidRDefault="00BC72E1">
      <w:pPr>
        <w:pStyle w:val="Fotnotstext"/>
        <w:rPr>
          <w:szCs w:val="18"/>
        </w:rPr>
      </w:pPr>
      <w:r w:rsidRPr="00BC268A">
        <w:rPr>
          <w:rStyle w:val="Fotnotsreferens"/>
          <w:szCs w:val="18"/>
        </w:rPr>
        <w:footnoteRef/>
      </w:r>
      <w:r w:rsidRPr="00BC268A">
        <w:rPr>
          <w:szCs w:val="18"/>
        </w:rPr>
        <w:t xml:space="preserve"> </w:t>
      </w:r>
      <w:r w:rsidR="00BC268A">
        <w:t xml:space="preserve">Reaktiv effekt i elnätet är den effekt som pendlar mellan en elektrisk last och kraftkällan utan att utföra något verkligt arbete. </w:t>
      </w:r>
      <w:r w:rsidR="00BC268A" w:rsidRPr="00BC268A">
        <w:rPr>
          <w:color w:val="000000"/>
          <w:shd w:val="clear" w:color="auto" w:fill="FFFFFF"/>
        </w:rPr>
        <w:t xml:space="preserve">Reaktiv effekt </w:t>
      </w:r>
      <w:r w:rsidR="00BC268A">
        <w:rPr>
          <w:color w:val="000000"/>
          <w:shd w:val="clear" w:color="auto" w:fill="FFFFFF"/>
        </w:rPr>
        <w:t>är viktig för</w:t>
      </w:r>
      <w:r w:rsidR="00BC268A" w:rsidRPr="00BC268A">
        <w:rPr>
          <w:color w:val="000000"/>
          <w:shd w:val="clear" w:color="auto" w:fill="FFFFFF"/>
        </w:rPr>
        <w:t xml:space="preserve"> elnätets funktion. Det hjälper till att hålla spänningen stabil i hela nätet. Utan korrekt hantering av reaktiv effekt, kan man uppleva oväntade spänningsvariationer, vilket kan leda till fel i utrustning och </w:t>
      </w:r>
      <w:r w:rsidR="00BC268A">
        <w:rPr>
          <w:color w:val="000000"/>
          <w:shd w:val="clear" w:color="auto" w:fill="FFFFFF"/>
        </w:rPr>
        <w:t xml:space="preserve">strömbortfall. </w:t>
      </w:r>
      <w:r w:rsidR="00AA0685">
        <w:rPr>
          <w:color w:val="000000"/>
          <w:shd w:val="clear" w:color="auto" w:fill="FFFFFF"/>
        </w:rPr>
        <w:t xml:space="preserve">Se Svenska kraftnät, </w:t>
      </w:r>
      <w:r w:rsidR="0073290F" w:rsidRPr="0073290F">
        <w:rPr>
          <w:i/>
          <w:iCs/>
          <w:color w:val="000000"/>
          <w:shd w:val="clear" w:color="auto" w:fill="FFFFFF"/>
        </w:rPr>
        <w:t>Kraftsystemstabilitet</w:t>
      </w:r>
      <w:r w:rsidR="0073290F">
        <w:rPr>
          <w:color w:val="000000"/>
          <w:shd w:val="clear" w:color="auto" w:fill="FFFFFF"/>
        </w:rPr>
        <w:t xml:space="preserve">, </w:t>
      </w:r>
      <w:hyperlink r:id="rId5" w:history="1">
        <w:r w:rsidR="00AA0685" w:rsidRPr="00AA0685">
          <w:rPr>
            <w:rStyle w:val="Hyperlnk"/>
            <w:shd w:val="clear" w:color="auto" w:fill="FFFFFF"/>
          </w:rPr>
          <w:t>länk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8A48" w14:textId="77777777" w:rsidR="0061501B" w:rsidRDefault="0061501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152E5" w14:textId="77777777" w:rsidR="0056553D" w:rsidRDefault="0056553D" w:rsidP="00B5535C">
    <w:pPr>
      <w:framePr w:w="9780" w:hSpace="142" w:wrap="around" w:vAnchor="page" w:hAnchor="page" w:x="1560" w:y="725"/>
      <w:spacing w:line="240" w:lineRule="auto"/>
      <w:ind w:right="275"/>
      <w:jc w:val="right"/>
      <w:rPr>
        <w:sz w:val="4"/>
      </w:rPr>
    </w:pPr>
    <w:r>
      <w:rPr>
        <w:noProof/>
      </w:rPr>
      <w:drawing>
        <wp:inline distT="0" distB="0" distL="0" distR="0" wp14:anchorId="10E45F6A" wp14:editId="242D1923">
          <wp:extent cx="1152525" cy="304800"/>
          <wp:effectExtent l="0" t="0" r="9525"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304800"/>
                  </a:xfrm>
                  <a:prstGeom prst="rect">
                    <a:avLst/>
                  </a:prstGeom>
                  <a:noFill/>
                  <a:ln>
                    <a:noFill/>
                  </a:ln>
                </pic:spPr>
              </pic:pic>
            </a:graphicData>
          </a:graphic>
        </wp:inline>
      </w:drawing>
    </w:r>
  </w:p>
  <w:p w14:paraId="78761EB0" w14:textId="77777777" w:rsidR="0056553D" w:rsidRDefault="0056553D" w:rsidP="008236F3">
    <w:pPr>
      <w:framePr w:hSpace="142" w:wrap="around" w:vAnchor="page" w:hAnchor="page" w:x="9255" w:y="725"/>
      <w:spacing w:line="240" w:lineRule="auto"/>
      <w:rPr>
        <w:sz w:val="4"/>
      </w:rPr>
    </w:pPr>
  </w:p>
  <w:p w14:paraId="66843DBF" w14:textId="77777777" w:rsidR="0056553D" w:rsidRPr="00810759" w:rsidRDefault="0056553D" w:rsidP="00CF25D1">
    <w:pPr>
      <w:pStyle w:val="NormalKompakt"/>
    </w:pPr>
  </w:p>
  <w:p w14:paraId="7A41B34E" w14:textId="77777777" w:rsidR="0056553D" w:rsidRDefault="0056553D" w:rsidP="00CF25D1">
    <w:pPr>
      <w:pStyle w:val="NormalKompakt"/>
    </w:pPr>
  </w:p>
  <w:p w14:paraId="4588BF41" w14:textId="77777777" w:rsidR="0056553D" w:rsidRDefault="0056553D" w:rsidP="00CF25D1">
    <w:pPr>
      <w:pStyle w:val="NormalKompakt"/>
    </w:pPr>
  </w:p>
  <w:p w14:paraId="2A1E0DA3" w14:textId="77777777" w:rsidR="0056553D" w:rsidRDefault="0056553D" w:rsidP="00CF25D1">
    <w:pPr>
      <w:pStyle w:val="NormalKompakt"/>
    </w:pPr>
  </w:p>
  <w:p w14:paraId="5DFDE4B4" w14:textId="77777777" w:rsidR="0056553D" w:rsidRDefault="0056553D" w:rsidP="00666060">
    <w:pPr>
      <w:pStyle w:val="NormalKompakt"/>
    </w:pPr>
  </w:p>
  <w:p w14:paraId="703BB9F6" w14:textId="77777777" w:rsidR="0056553D" w:rsidRDefault="0056553D" w:rsidP="00666060">
    <w:pPr>
      <w:pStyle w:val="NormalKompak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98AB5" w14:textId="77777777" w:rsidR="0056553D" w:rsidRDefault="0004206F" w:rsidP="0001475F">
    <w:pPr>
      <w:pStyle w:val="logo"/>
      <w:framePr w:w="9499" w:wrap="around" w:x="1701" w:y="727"/>
      <w:ind w:firstLine="142"/>
      <w:jc w:val="right"/>
    </w:pPr>
    <w:r>
      <w:rPr>
        <w:noProof/>
      </w:rPr>
      <w:drawing>
        <wp:inline distT="0" distB="0" distL="0" distR="0" wp14:anchorId="712A0CF5" wp14:editId="75400A83">
          <wp:extent cx="1357200" cy="360000"/>
          <wp:effectExtent l="0" t="0" r="0" b="254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iksdagen.JPG"/>
                  <pic:cNvPicPr/>
                </pic:nvPicPr>
                <pic:blipFill>
                  <a:blip r:embed="rId1">
                    <a:extLst>
                      <a:ext uri="{28A0092B-C50C-407E-A947-70E740481C1C}">
                        <a14:useLocalDpi xmlns:a14="http://schemas.microsoft.com/office/drawing/2010/main" val="0"/>
                      </a:ext>
                    </a:extLst>
                  </a:blip>
                  <a:stretch>
                    <a:fillRect/>
                  </a:stretch>
                </pic:blipFill>
                <pic:spPr>
                  <a:xfrm>
                    <a:off x="0" y="0"/>
                    <a:ext cx="1357200" cy="360000"/>
                  </a:xfrm>
                  <a:prstGeom prst="rect">
                    <a:avLst/>
                  </a:prstGeom>
                </pic:spPr>
              </pic:pic>
            </a:graphicData>
          </a:graphic>
        </wp:inline>
      </w:drawing>
    </w:r>
  </w:p>
  <w:p w14:paraId="0D6B118E" w14:textId="77777777" w:rsidR="0056553D" w:rsidRDefault="0056553D" w:rsidP="000A3BEC">
    <w:pPr>
      <w:pStyle w:val="logo"/>
      <w:framePr w:wrap="around" w:x="8790" w:y="727"/>
    </w:pPr>
  </w:p>
  <w:tbl>
    <w:tblPr>
      <w:tblW w:w="7230" w:type="dxa"/>
      <w:tblCellMar>
        <w:left w:w="0" w:type="dxa"/>
        <w:right w:w="0" w:type="dxa"/>
      </w:tblCellMar>
      <w:tblLook w:val="01E0" w:firstRow="1" w:lastRow="1" w:firstColumn="1" w:lastColumn="1" w:noHBand="0" w:noVBand="0"/>
    </w:tblPr>
    <w:tblGrid>
      <w:gridCol w:w="7230"/>
    </w:tblGrid>
    <w:tr w:rsidR="0056553D" w14:paraId="47D901DE" w14:textId="77777777" w:rsidTr="00E337E7">
      <w:trPr>
        <w:trHeight w:val="1531"/>
      </w:trPr>
      <w:tc>
        <w:tcPr>
          <w:tcW w:w="7230" w:type="dxa"/>
        </w:tcPr>
        <w:p w14:paraId="5F8D3938" w14:textId="77777777" w:rsidR="0056553D" w:rsidRDefault="0056553D" w:rsidP="00242F51">
          <w:pPr>
            <w:jc w:val="right"/>
          </w:pPr>
        </w:p>
      </w:tc>
    </w:tr>
  </w:tbl>
  <w:p w14:paraId="6B298A65" w14:textId="77777777" w:rsidR="0056553D" w:rsidRDefault="0056553D" w:rsidP="006460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A6D1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F4F6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2E00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6AB8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748D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BC2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1C98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40D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02F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9CB2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B464D"/>
    <w:multiLevelType w:val="hybridMultilevel"/>
    <w:tmpl w:val="0340E786"/>
    <w:lvl w:ilvl="0" w:tplc="1ABAD848">
      <w:start w:val="1"/>
      <w:numFmt w:val="lowerLetter"/>
      <w:pStyle w:val="Punktlistagemen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BC95605"/>
    <w:multiLevelType w:val="multilevel"/>
    <w:tmpl w:val="83A49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2A432E"/>
    <w:multiLevelType w:val="hybridMultilevel"/>
    <w:tmpl w:val="09402DE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AA5F23"/>
    <w:multiLevelType w:val="multilevel"/>
    <w:tmpl w:val="208290A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4A5247"/>
    <w:multiLevelType w:val="multilevel"/>
    <w:tmpl w:val="7264D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870363"/>
    <w:multiLevelType w:val="hybridMultilevel"/>
    <w:tmpl w:val="F8B272B4"/>
    <w:lvl w:ilvl="0" w:tplc="2D0CA15E">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65047A"/>
    <w:multiLevelType w:val="multilevel"/>
    <w:tmpl w:val="D60C3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9F21E3"/>
    <w:multiLevelType w:val="multilevel"/>
    <w:tmpl w:val="B86A5F2C"/>
    <w:lvl w:ilvl="0">
      <w:start w:val="1"/>
      <w:numFmt w:val="bullet"/>
      <w:lvlText w:val=""/>
      <w:lvlJc w:val="left"/>
      <w:pPr>
        <w:tabs>
          <w:tab w:val="num" w:pos="1004"/>
        </w:tabs>
        <w:ind w:left="1004" w:hanging="360"/>
      </w:pPr>
      <w:rPr>
        <w:rFonts w:ascii="Symbol" w:hAnsi="Symbol"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9D01C11"/>
    <w:multiLevelType w:val="multilevel"/>
    <w:tmpl w:val="C466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266917"/>
    <w:multiLevelType w:val="multilevel"/>
    <w:tmpl w:val="208290A4"/>
    <w:lvl w:ilvl="0">
      <w:start w:val="1"/>
      <w:numFmt w:val="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F64FFD"/>
    <w:multiLevelType w:val="multilevel"/>
    <w:tmpl w:val="DC6E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AE1972"/>
    <w:multiLevelType w:val="multilevel"/>
    <w:tmpl w:val="E19CD5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BB3850"/>
    <w:multiLevelType w:val="multilevel"/>
    <w:tmpl w:val="22323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C1769B"/>
    <w:multiLevelType w:val="multilevel"/>
    <w:tmpl w:val="09402D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287063"/>
    <w:multiLevelType w:val="hybridMultilevel"/>
    <w:tmpl w:val="E1B8CD8A"/>
    <w:lvl w:ilvl="0" w:tplc="1C263B8C">
      <w:start w:val="1"/>
      <w:numFmt w:val="bullet"/>
      <w:pStyle w:val="Punktlista"/>
      <w:lvlText w:val=""/>
      <w:lvlJc w:val="left"/>
      <w:pPr>
        <w:tabs>
          <w:tab w:val="num" w:pos="284"/>
        </w:tabs>
        <w:ind w:left="284" w:hanging="284"/>
      </w:pPr>
      <w:rPr>
        <w:rFonts w:ascii="Symbol" w:hAnsi="Symbol" w:hint="default"/>
      </w:rPr>
    </w:lvl>
    <w:lvl w:ilvl="1" w:tplc="041D0003" w:tentative="1">
      <w:start w:val="1"/>
      <w:numFmt w:val="bullet"/>
      <w:lvlText w:val="o"/>
      <w:lvlJc w:val="left"/>
      <w:pPr>
        <w:tabs>
          <w:tab w:val="num" w:pos="1724"/>
        </w:tabs>
        <w:ind w:left="1724" w:hanging="360"/>
      </w:pPr>
      <w:rPr>
        <w:rFonts w:ascii="Courier New" w:hAnsi="Courier New" w:cs="Courier New" w:hint="default"/>
      </w:rPr>
    </w:lvl>
    <w:lvl w:ilvl="2" w:tplc="041D0005" w:tentative="1">
      <w:start w:val="1"/>
      <w:numFmt w:val="bullet"/>
      <w:lvlText w:val=""/>
      <w:lvlJc w:val="left"/>
      <w:pPr>
        <w:tabs>
          <w:tab w:val="num" w:pos="2444"/>
        </w:tabs>
        <w:ind w:left="2444" w:hanging="360"/>
      </w:pPr>
      <w:rPr>
        <w:rFonts w:ascii="Wingdings" w:hAnsi="Wingdings" w:hint="default"/>
      </w:rPr>
    </w:lvl>
    <w:lvl w:ilvl="3" w:tplc="041D0001" w:tentative="1">
      <w:start w:val="1"/>
      <w:numFmt w:val="bullet"/>
      <w:lvlText w:val=""/>
      <w:lvlJc w:val="left"/>
      <w:pPr>
        <w:tabs>
          <w:tab w:val="num" w:pos="3164"/>
        </w:tabs>
        <w:ind w:left="3164" w:hanging="360"/>
      </w:pPr>
      <w:rPr>
        <w:rFonts w:ascii="Symbol" w:hAnsi="Symbol" w:hint="default"/>
      </w:rPr>
    </w:lvl>
    <w:lvl w:ilvl="4" w:tplc="041D0003" w:tentative="1">
      <w:start w:val="1"/>
      <w:numFmt w:val="bullet"/>
      <w:lvlText w:val="o"/>
      <w:lvlJc w:val="left"/>
      <w:pPr>
        <w:tabs>
          <w:tab w:val="num" w:pos="3884"/>
        </w:tabs>
        <w:ind w:left="3884" w:hanging="360"/>
      </w:pPr>
      <w:rPr>
        <w:rFonts w:ascii="Courier New" w:hAnsi="Courier New" w:cs="Courier New" w:hint="default"/>
      </w:rPr>
    </w:lvl>
    <w:lvl w:ilvl="5" w:tplc="041D0005" w:tentative="1">
      <w:start w:val="1"/>
      <w:numFmt w:val="bullet"/>
      <w:lvlText w:val=""/>
      <w:lvlJc w:val="left"/>
      <w:pPr>
        <w:tabs>
          <w:tab w:val="num" w:pos="4604"/>
        </w:tabs>
        <w:ind w:left="4604" w:hanging="360"/>
      </w:pPr>
      <w:rPr>
        <w:rFonts w:ascii="Wingdings" w:hAnsi="Wingdings" w:hint="default"/>
      </w:rPr>
    </w:lvl>
    <w:lvl w:ilvl="6" w:tplc="041D0001" w:tentative="1">
      <w:start w:val="1"/>
      <w:numFmt w:val="bullet"/>
      <w:lvlText w:val=""/>
      <w:lvlJc w:val="left"/>
      <w:pPr>
        <w:tabs>
          <w:tab w:val="num" w:pos="5324"/>
        </w:tabs>
        <w:ind w:left="5324" w:hanging="360"/>
      </w:pPr>
      <w:rPr>
        <w:rFonts w:ascii="Symbol" w:hAnsi="Symbol" w:hint="default"/>
      </w:rPr>
    </w:lvl>
    <w:lvl w:ilvl="7" w:tplc="041D0003" w:tentative="1">
      <w:start w:val="1"/>
      <w:numFmt w:val="bullet"/>
      <w:lvlText w:val="o"/>
      <w:lvlJc w:val="left"/>
      <w:pPr>
        <w:tabs>
          <w:tab w:val="num" w:pos="6044"/>
        </w:tabs>
        <w:ind w:left="6044" w:hanging="360"/>
      </w:pPr>
      <w:rPr>
        <w:rFonts w:ascii="Courier New" w:hAnsi="Courier New" w:cs="Courier New" w:hint="default"/>
      </w:rPr>
    </w:lvl>
    <w:lvl w:ilvl="8" w:tplc="041D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5215275C"/>
    <w:multiLevelType w:val="multilevel"/>
    <w:tmpl w:val="09402DEC"/>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714DB"/>
    <w:multiLevelType w:val="hybridMultilevel"/>
    <w:tmpl w:val="A3822584"/>
    <w:lvl w:ilvl="0" w:tplc="BFA22632">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6D57ADF"/>
    <w:multiLevelType w:val="hybridMultilevel"/>
    <w:tmpl w:val="1A00F34A"/>
    <w:name w:val="RubrikNr72222"/>
    <w:lvl w:ilvl="0" w:tplc="32DC7886">
      <w:start w:val="1"/>
      <w:numFmt w:val="bullet"/>
      <w:pStyle w:val="Punktlistabomb"/>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0696AFB"/>
    <w:multiLevelType w:val="multilevel"/>
    <w:tmpl w:val="E730B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616F32"/>
    <w:multiLevelType w:val="hybridMultilevel"/>
    <w:tmpl w:val="9A288C0A"/>
    <w:lvl w:ilvl="0" w:tplc="CDAA99AA">
      <w:start w:val="1"/>
      <w:numFmt w:val="bullet"/>
      <w:pStyle w:val="Punktlistautanluft"/>
      <w:lvlText w:val=""/>
      <w:lvlJc w:val="left"/>
      <w:pPr>
        <w:tabs>
          <w:tab w:val="num" w:pos="-3"/>
        </w:tabs>
        <w:ind w:left="264" w:hanging="264"/>
      </w:pPr>
      <w:rPr>
        <w:rFonts w:ascii="Symbol" w:hAnsi="Symbol" w:hint="default"/>
      </w:rPr>
    </w:lvl>
    <w:lvl w:ilvl="1" w:tplc="7FE2828E">
      <w:start w:val="1"/>
      <w:numFmt w:val="bullet"/>
      <w:pStyle w:val="Punktlista2"/>
      <w:lvlText w:val="o"/>
      <w:lvlJc w:val="left"/>
      <w:pPr>
        <w:tabs>
          <w:tab w:val="num" w:pos="1080"/>
        </w:tabs>
        <w:ind w:left="1080" w:hanging="360"/>
      </w:pPr>
      <w:rPr>
        <w:rFonts w:ascii="Courier New" w:hAnsi="Courier New" w:cs="Courier New" w:hint="default"/>
      </w:rPr>
    </w:lvl>
    <w:lvl w:ilvl="2" w:tplc="5CA8FD24">
      <w:start w:val="1"/>
      <w:numFmt w:val="bullet"/>
      <w:pStyle w:val="Punktlista3"/>
      <w:lvlText w:val=""/>
      <w:lvlJc w:val="left"/>
      <w:pPr>
        <w:tabs>
          <w:tab w:val="num" w:pos="1800"/>
        </w:tabs>
        <w:ind w:left="1800" w:hanging="360"/>
      </w:pPr>
      <w:rPr>
        <w:rFonts w:ascii="Wingdings" w:hAnsi="Wingdings" w:hint="default"/>
      </w:rPr>
    </w:lvl>
    <w:lvl w:ilvl="3" w:tplc="B0BEEBEE">
      <w:start w:val="1"/>
      <w:numFmt w:val="bullet"/>
      <w:pStyle w:val="Punktlista4"/>
      <w:lvlText w:val=""/>
      <w:lvlJc w:val="left"/>
      <w:pPr>
        <w:tabs>
          <w:tab w:val="num" w:pos="2520"/>
        </w:tabs>
        <w:ind w:left="2520" w:hanging="360"/>
      </w:pPr>
      <w:rPr>
        <w:rFonts w:ascii="Symbol" w:hAnsi="Symbol" w:hint="default"/>
      </w:rPr>
    </w:lvl>
    <w:lvl w:ilvl="4" w:tplc="041D0003">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29F7DC4"/>
    <w:multiLevelType w:val="hybridMultilevel"/>
    <w:tmpl w:val="29389FB2"/>
    <w:lvl w:ilvl="0" w:tplc="E3DCFFB8">
      <w:start w:val="1"/>
      <w:numFmt w:val="decimal"/>
      <w:pStyle w:val="Punktlistasiffra"/>
      <w:lvlText w:val="%1."/>
      <w:lvlJc w:val="left"/>
      <w:pPr>
        <w:ind w:left="502" w:hanging="360"/>
      </w:pPr>
      <w:rPr>
        <w:rFonts w:cs="Times New Roman"/>
      </w:rPr>
    </w:lvl>
    <w:lvl w:ilvl="1" w:tplc="041D0019" w:tentative="1">
      <w:start w:val="1"/>
      <w:numFmt w:val="lowerLetter"/>
      <w:lvlText w:val="%2."/>
      <w:lvlJc w:val="left"/>
      <w:pPr>
        <w:ind w:left="1222" w:hanging="360"/>
      </w:pPr>
      <w:rPr>
        <w:rFonts w:cs="Times New Roman"/>
      </w:rPr>
    </w:lvl>
    <w:lvl w:ilvl="2" w:tplc="041D001B" w:tentative="1">
      <w:start w:val="1"/>
      <w:numFmt w:val="lowerRoman"/>
      <w:lvlText w:val="%3."/>
      <w:lvlJc w:val="right"/>
      <w:pPr>
        <w:ind w:left="1942" w:hanging="180"/>
      </w:pPr>
      <w:rPr>
        <w:rFonts w:cs="Times New Roman"/>
      </w:rPr>
    </w:lvl>
    <w:lvl w:ilvl="3" w:tplc="041D000F" w:tentative="1">
      <w:start w:val="1"/>
      <w:numFmt w:val="decimal"/>
      <w:lvlText w:val="%4."/>
      <w:lvlJc w:val="left"/>
      <w:pPr>
        <w:ind w:left="2662" w:hanging="360"/>
      </w:pPr>
      <w:rPr>
        <w:rFonts w:cs="Times New Roman"/>
      </w:rPr>
    </w:lvl>
    <w:lvl w:ilvl="4" w:tplc="041D0019" w:tentative="1">
      <w:start w:val="1"/>
      <w:numFmt w:val="lowerLetter"/>
      <w:lvlText w:val="%5."/>
      <w:lvlJc w:val="left"/>
      <w:pPr>
        <w:ind w:left="3382" w:hanging="360"/>
      </w:pPr>
      <w:rPr>
        <w:rFonts w:cs="Times New Roman"/>
      </w:rPr>
    </w:lvl>
    <w:lvl w:ilvl="5" w:tplc="041D001B" w:tentative="1">
      <w:start w:val="1"/>
      <w:numFmt w:val="lowerRoman"/>
      <w:lvlText w:val="%6."/>
      <w:lvlJc w:val="right"/>
      <w:pPr>
        <w:ind w:left="4102" w:hanging="180"/>
      </w:pPr>
      <w:rPr>
        <w:rFonts w:cs="Times New Roman"/>
      </w:rPr>
    </w:lvl>
    <w:lvl w:ilvl="6" w:tplc="041D000F" w:tentative="1">
      <w:start w:val="1"/>
      <w:numFmt w:val="decimal"/>
      <w:lvlText w:val="%7."/>
      <w:lvlJc w:val="left"/>
      <w:pPr>
        <w:ind w:left="4822" w:hanging="360"/>
      </w:pPr>
      <w:rPr>
        <w:rFonts w:cs="Times New Roman"/>
      </w:rPr>
    </w:lvl>
    <w:lvl w:ilvl="7" w:tplc="041D0019" w:tentative="1">
      <w:start w:val="1"/>
      <w:numFmt w:val="lowerLetter"/>
      <w:lvlText w:val="%8."/>
      <w:lvlJc w:val="left"/>
      <w:pPr>
        <w:ind w:left="5542" w:hanging="360"/>
      </w:pPr>
      <w:rPr>
        <w:rFonts w:cs="Times New Roman"/>
      </w:rPr>
    </w:lvl>
    <w:lvl w:ilvl="8" w:tplc="041D001B" w:tentative="1">
      <w:start w:val="1"/>
      <w:numFmt w:val="lowerRoman"/>
      <w:lvlText w:val="%9."/>
      <w:lvlJc w:val="right"/>
      <w:pPr>
        <w:ind w:left="6262" w:hanging="180"/>
      </w:pPr>
      <w:rPr>
        <w:rFonts w:cs="Times New Roman"/>
      </w:rPr>
    </w:lvl>
  </w:abstractNum>
  <w:abstractNum w:abstractNumId="31" w15:restartNumberingAfterBreak="0">
    <w:nsid w:val="776D69E2"/>
    <w:multiLevelType w:val="hybridMultilevel"/>
    <w:tmpl w:val="7BEA5602"/>
    <w:name w:val="RubrikNr722222"/>
    <w:lvl w:ilvl="0" w:tplc="AACE29C0">
      <w:start w:val="1"/>
      <w:numFmt w:val="bullet"/>
      <w:pStyle w:val="Punktlistalinje"/>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8AD49A1"/>
    <w:multiLevelType w:val="multilevel"/>
    <w:tmpl w:val="09402DEC"/>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25"/>
  </w:num>
  <w:num w:numId="13">
    <w:abstractNumId w:val="32"/>
  </w:num>
  <w:num w:numId="14">
    <w:abstractNumId w:val="23"/>
  </w:num>
  <w:num w:numId="15">
    <w:abstractNumId w:val="29"/>
  </w:num>
  <w:num w:numId="16">
    <w:abstractNumId w:val="24"/>
  </w:num>
  <w:num w:numId="17">
    <w:abstractNumId w:val="17"/>
  </w:num>
  <w:num w:numId="18">
    <w:abstractNumId w:val="15"/>
  </w:num>
  <w:num w:numId="19">
    <w:abstractNumId w:val="19"/>
  </w:num>
  <w:num w:numId="20">
    <w:abstractNumId w:val="13"/>
  </w:num>
  <w:num w:numId="21">
    <w:abstractNumId w:val="27"/>
  </w:num>
  <w:num w:numId="22">
    <w:abstractNumId w:val="10"/>
  </w:num>
  <w:num w:numId="23">
    <w:abstractNumId w:val="31"/>
  </w:num>
  <w:num w:numId="24">
    <w:abstractNumId w:val="30"/>
  </w:num>
  <w:num w:numId="25">
    <w:abstractNumId w:val="26"/>
  </w:num>
  <w:num w:numId="26">
    <w:abstractNumId w:val="14"/>
  </w:num>
  <w:num w:numId="27">
    <w:abstractNumId w:val="16"/>
  </w:num>
  <w:num w:numId="28">
    <w:abstractNumId w:val="28"/>
  </w:num>
  <w:num w:numId="29">
    <w:abstractNumId w:val="22"/>
  </w:num>
  <w:num w:numId="30">
    <w:abstractNumId w:val="18"/>
  </w:num>
  <w:num w:numId="31">
    <w:abstractNumId w:val="20"/>
  </w:num>
  <w:num w:numId="32">
    <w:abstractNumId w:val="21"/>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removePersonalInformation/>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ogoFärg" w:val=" "/>
  </w:docVars>
  <w:rsids>
    <w:rsidRoot w:val="0061501B"/>
    <w:rsid w:val="000046DD"/>
    <w:rsid w:val="00006FDD"/>
    <w:rsid w:val="00010107"/>
    <w:rsid w:val="000103A1"/>
    <w:rsid w:val="00013EE2"/>
    <w:rsid w:val="0001475F"/>
    <w:rsid w:val="00014B94"/>
    <w:rsid w:val="00017E58"/>
    <w:rsid w:val="00021B02"/>
    <w:rsid w:val="000228A5"/>
    <w:rsid w:val="000244B6"/>
    <w:rsid w:val="00025C72"/>
    <w:rsid w:val="00026AC8"/>
    <w:rsid w:val="00030944"/>
    <w:rsid w:val="0003283A"/>
    <w:rsid w:val="00042019"/>
    <w:rsid w:val="0004206F"/>
    <w:rsid w:val="000441AD"/>
    <w:rsid w:val="00044D40"/>
    <w:rsid w:val="000475F1"/>
    <w:rsid w:val="00050417"/>
    <w:rsid w:val="00050843"/>
    <w:rsid w:val="0005184C"/>
    <w:rsid w:val="0005459E"/>
    <w:rsid w:val="0006222D"/>
    <w:rsid w:val="00065C00"/>
    <w:rsid w:val="000668F3"/>
    <w:rsid w:val="00066C6A"/>
    <w:rsid w:val="00070E71"/>
    <w:rsid w:val="00071FF0"/>
    <w:rsid w:val="0007271C"/>
    <w:rsid w:val="00073A8F"/>
    <w:rsid w:val="00084818"/>
    <w:rsid w:val="0008779F"/>
    <w:rsid w:val="00090976"/>
    <w:rsid w:val="00094025"/>
    <w:rsid w:val="00094E52"/>
    <w:rsid w:val="00095C3B"/>
    <w:rsid w:val="00096F43"/>
    <w:rsid w:val="00097F10"/>
    <w:rsid w:val="000A1FD1"/>
    <w:rsid w:val="000A3BEC"/>
    <w:rsid w:val="000A4E68"/>
    <w:rsid w:val="000A5408"/>
    <w:rsid w:val="000A6F74"/>
    <w:rsid w:val="000A7D99"/>
    <w:rsid w:val="000B04E9"/>
    <w:rsid w:val="000B4314"/>
    <w:rsid w:val="000C1327"/>
    <w:rsid w:val="000C2F8C"/>
    <w:rsid w:val="000C3B94"/>
    <w:rsid w:val="000C70D7"/>
    <w:rsid w:val="000D1D3C"/>
    <w:rsid w:val="000D57AD"/>
    <w:rsid w:val="000D689F"/>
    <w:rsid w:val="000E039B"/>
    <w:rsid w:val="000E0460"/>
    <w:rsid w:val="000E2009"/>
    <w:rsid w:val="000E2903"/>
    <w:rsid w:val="000E57F3"/>
    <w:rsid w:val="000F13CE"/>
    <w:rsid w:val="000F60E2"/>
    <w:rsid w:val="001014AE"/>
    <w:rsid w:val="001049C5"/>
    <w:rsid w:val="0010545A"/>
    <w:rsid w:val="00105A9E"/>
    <w:rsid w:val="00107C81"/>
    <w:rsid w:val="00112E6B"/>
    <w:rsid w:val="00120F5D"/>
    <w:rsid w:val="001220B3"/>
    <w:rsid w:val="00122859"/>
    <w:rsid w:val="00130738"/>
    <w:rsid w:val="001310AD"/>
    <w:rsid w:val="00131354"/>
    <w:rsid w:val="00136A8D"/>
    <w:rsid w:val="00143194"/>
    <w:rsid w:val="001435F8"/>
    <w:rsid w:val="00143BD0"/>
    <w:rsid w:val="00144393"/>
    <w:rsid w:val="00144676"/>
    <w:rsid w:val="001471A0"/>
    <w:rsid w:val="00152B5D"/>
    <w:rsid w:val="0015385F"/>
    <w:rsid w:val="00153F30"/>
    <w:rsid w:val="00156DF8"/>
    <w:rsid w:val="0015753F"/>
    <w:rsid w:val="00160B4B"/>
    <w:rsid w:val="00161F00"/>
    <w:rsid w:val="00162DBF"/>
    <w:rsid w:val="00166508"/>
    <w:rsid w:val="00173C5D"/>
    <w:rsid w:val="00183236"/>
    <w:rsid w:val="001866FE"/>
    <w:rsid w:val="00187307"/>
    <w:rsid w:val="00192D51"/>
    <w:rsid w:val="00193322"/>
    <w:rsid w:val="0019385A"/>
    <w:rsid w:val="001961FE"/>
    <w:rsid w:val="001A25B0"/>
    <w:rsid w:val="001A35DC"/>
    <w:rsid w:val="001A3FBC"/>
    <w:rsid w:val="001A76E8"/>
    <w:rsid w:val="001B032A"/>
    <w:rsid w:val="001B4F3D"/>
    <w:rsid w:val="001B57B3"/>
    <w:rsid w:val="001B6778"/>
    <w:rsid w:val="001B6909"/>
    <w:rsid w:val="001C7DCC"/>
    <w:rsid w:val="001D025A"/>
    <w:rsid w:val="001D14EC"/>
    <w:rsid w:val="001D1A16"/>
    <w:rsid w:val="001D1E7D"/>
    <w:rsid w:val="001D3F71"/>
    <w:rsid w:val="001D4817"/>
    <w:rsid w:val="001D5A83"/>
    <w:rsid w:val="001E2A76"/>
    <w:rsid w:val="001E6421"/>
    <w:rsid w:val="001E6EB4"/>
    <w:rsid w:val="001E6F45"/>
    <w:rsid w:val="001F4AF3"/>
    <w:rsid w:val="001F5A6C"/>
    <w:rsid w:val="00202E1E"/>
    <w:rsid w:val="00204F59"/>
    <w:rsid w:val="00210CF6"/>
    <w:rsid w:val="00211BD1"/>
    <w:rsid w:val="00213E65"/>
    <w:rsid w:val="0021418A"/>
    <w:rsid w:val="00221257"/>
    <w:rsid w:val="002263CE"/>
    <w:rsid w:val="00227CBA"/>
    <w:rsid w:val="00227DE9"/>
    <w:rsid w:val="00231E41"/>
    <w:rsid w:val="00241857"/>
    <w:rsid w:val="00242F51"/>
    <w:rsid w:val="002451C3"/>
    <w:rsid w:val="00250F4C"/>
    <w:rsid w:val="002523E2"/>
    <w:rsid w:val="00253092"/>
    <w:rsid w:val="00254B93"/>
    <w:rsid w:val="00255DD1"/>
    <w:rsid w:val="00257937"/>
    <w:rsid w:val="00260E49"/>
    <w:rsid w:val="00266674"/>
    <w:rsid w:val="00267E81"/>
    <w:rsid w:val="00273966"/>
    <w:rsid w:val="00277D4B"/>
    <w:rsid w:val="002823FB"/>
    <w:rsid w:val="00283FA3"/>
    <w:rsid w:val="002856EE"/>
    <w:rsid w:val="00291258"/>
    <w:rsid w:val="00291F8F"/>
    <w:rsid w:val="00292BDD"/>
    <w:rsid w:val="00293865"/>
    <w:rsid w:val="002A2DB3"/>
    <w:rsid w:val="002A344C"/>
    <w:rsid w:val="002A4D8E"/>
    <w:rsid w:val="002B4AED"/>
    <w:rsid w:val="002B4EDE"/>
    <w:rsid w:val="002B4F43"/>
    <w:rsid w:val="002C05B1"/>
    <w:rsid w:val="002C2ABC"/>
    <w:rsid w:val="002C57A8"/>
    <w:rsid w:val="002D0BE3"/>
    <w:rsid w:val="002D2F13"/>
    <w:rsid w:val="002D63D1"/>
    <w:rsid w:val="002D6B02"/>
    <w:rsid w:val="002E18A5"/>
    <w:rsid w:val="002E3117"/>
    <w:rsid w:val="002E7B2A"/>
    <w:rsid w:val="002F2920"/>
    <w:rsid w:val="002F39FA"/>
    <w:rsid w:val="002F4431"/>
    <w:rsid w:val="002F4896"/>
    <w:rsid w:val="002F60CA"/>
    <w:rsid w:val="002F644E"/>
    <w:rsid w:val="003031AF"/>
    <w:rsid w:val="00310B5B"/>
    <w:rsid w:val="00317954"/>
    <w:rsid w:val="00320BE1"/>
    <w:rsid w:val="003267DA"/>
    <w:rsid w:val="00327205"/>
    <w:rsid w:val="003314E1"/>
    <w:rsid w:val="00332645"/>
    <w:rsid w:val="003372AB"/>
    <w:rsid w:val="00342223"/>
    <w:rsid w:val="00345080"/>
    <w:rsid w:val="003544C9"/>
    <w:rsid w:val="00354892"/>
    <w:rsid w:val="00356808"/>
    <w:rsid w:val="00360DCB"/>
    <w:rsid w:val="00361D5C"/>
    <w:rsid w:val="00366A8A"/>
    <w:rsid w:val="00367846"/>
    <w:rsid w:val="00373590"/>
    <w:rsid w:val="0037410D"/>
    <w:rsid w:val="00374407"/>
    <w:rsid w:val="00383A06"/>
    <w:rsid w:val="00384FBE"/>
    <w:rsid w:val="0038684B"/>
    <w:rsid w:val="003969B4"/>
    <w:rsid w:val="003A12F7"/>
    <w:rsid w:val="003A1B07"/>
    <w:rsid w:val="003A2FEE"/>
    <w:rsid w:val="003A4BCC"/>
    <w:rsid w:val="003A4E01"/>
    <w:rsid w:val="003A5EB6"/>
    <w:rsid w:val="003C20B2"/>
    <w:rsid w:val="003C6FAB"/>
    <w:rsid w:val="003C78BF"/>
    <w:rsid w:val="003D1399"/>
    <w:rsid w:val="003D1578"/>
    <w:rsid w:val="003D5DE0"/>
    <w:rsid w:val="003E16CE"/>
    <w:rsid w:val="003E2A3B"/>
    <w:rsid w:val="003E3082"/>
    <w:rsid w:val="003E332E"/>
    <w:rsid w:val="003F0EB2"/>
    <w:rsid w:val="003F14C3"/>
    <w:rsid w:val="003F24D1"/>
    <w:rsid w:val="003F6263"/>
    <w:rsid w:val="003F72A8"/>
    <w:rsid w:val="004010A9"/>
    <w:rsid w:val="0040702A"/>
    <w:rsid w:val="0040795B"/>
    <w:rsid w:val="004146C6"/>
    <w:rsid w:val="00415217"/>
    <w:rsid w:val="004169AA"/>
    <w:rsid w:val="004170D9"/>
    <w:rsid w:val="00422861"/>
    <w:rsid w:val="00424579"/>
    <w:rsid w:val="00426A32"/>
    <w:rsid w:val="00426B08"/>
    <w:rsid w:val="00427777"/>
    <w:rsid w:val="00433FE4"/>
    <w:rsid w:val="00434A20"/>
    <w:rsid w:val="00434ACB"/>
    <w:rsid w:val="00436FFF"/>
    <w:rsid w:val="0043711B"/>
    <w:rsid w:val="004408BA"/>
    <w:rsid w:val="00440E61"/>
    <w:rsid w:val="004415D9"/>
    <w:rsid w:val="00445B2C"/>
    <w:rsid w:val="00447CB3"/>
    <w:rsid w:val="00452F56"/>
    <w:rsid w:val="004546AB"/>
    <w:rsid w:val="00454C8A"/>
    <w:rsid w:val="00457AE1"/>
    <w:rsid w:val="00461351"/>
    <w:rsid w:val="00462902"/>
    <w:rsid w:val="004633A8"/>
    <w:rsid w:val="004674FC"/>
    <w:rsid w:val="004728AD"/>
    <w:rsid w:val="00472C2B"/>
    <w:rsid w:val="0047773F"/>
    <w:rsid w:val="004814D8"/>
    <w:rsid w:val="004836E2"/>
    <w:rsid w:val="0048472E"/>
    <w:rsid w:val="0049317D"/>
    <w:rsid w:val="0049451E"/>
    <w:rsid w:val="00494C11"/>
    <w:rsid w:val="00494EEE"/>
    <w:rsid w:val="004A0FAA"/>
    <w:rsid w:val="004A1441"/>
    <w:rsid w:val="004A3237"/>
    <w:rsid w:val="004A4562"/>
    <w:rsid w:val="004A73D4"/>
    <w:rsid w:val="004B7222"/>
    <w:rsid w:val="004C230C"/>
    <w:rsid w:val="004C2450"/>
    <w:rsid w:val="004D1DE2"/>
    <w:rsid w:val="004D759A"/>
    <w:rsid w:val="004E2B6D"/>
    <w:rsid w:val="004E3961"/>
    <w:rsid w:val="004E5606"/>
    <w:rsid w:val="004E66F8"/>
    <w:rsid w:val="004F0B43"/>
    <w:rsid w:val="004F3BF1"/>
    <w:rsid w:val="004F5F02"/>
    <w:rsid w:val="004F72CD"/>
    <w:rsid w:val="0050547B"/>
    <w:rsid w:val="005063F1"/>
    <w:rsid w:val="00506F1C"/>
    <w:rsid w:val="0051005C"/>
    <w:rsid w:val="0051270F"/>
    <w:rsid w:val="0051338E"/>
    <w:rsid w:val="00513E57"/>
    <w:rsid w:val="00515549"/>
    <w:rsid w:val="00516137"/>
    <w:rsid w:val="00516A45"/>
    <w:rsid w:val="00516B07"/>
    <w:rsid w:val="005203A6"/>
    <w:rsid w:val="00522E29"/>
    <w:rsid w:val="00524766"/>
    <w:rsid w:val="00527427"/>
    <w:rsid w:val="00527FAA"/>
    <w:rsid w:val="00531EFE"/>
    <w:rsid w:val="00532056"/>
    <w:rsid w:val="00540BC4"/>
    <w:rsid w:val="0054224B"/>
    <w:rsid w:val="00542BC3"/>
    <w:rsid w:val="0054387D"/>
    <w:rsid w:val="005444B3"/>
    <w:rsid w:val="0054559A"/>
    <w:rsid w:val="00546A9C"/>
    <w:rsid w:val="00552D66"/>
    <w:rsid w:val="00553050"/>
    <w:rsid w:val="00553FF8"/>
    <w:rsid w:val="00554E9A"/>
    <w:rsid w:val="00556F01"/>
    <w:rsid w:val="00557E95"/>
    <w:rsid w:val="00563ADD"/>
    <w:rsid w:val="0056553D"/>
    <w:rsid w:val="0056606D"/>
    <w:rsid w:val="00574C43"/>
    <w:rsid w:val="005754BE"/>
    <w:rsid w:val="005767EE"/>
    <w:rsid w:val="0058297F"/>
    <w:rsid w:val="005841A5"/>
    <w:rsid w:val="00586247"/>
    <w:rsid w:val="00591132"/>
    <w:rsid w:val="005929C7"/>
    <w:rsid w:val="00594058"/>
    <w:rsid w:val="00594245"/>
    <w:rsid w:val="00594D10"/>
    <w:rsid w:val="00596ED0"/>
    <w:rsid w:val="00596F4D"/>
    <w:rsid w:val="005A050E"/>
    <w:rsid w:val="005A07E8"/>
    <w:rsid w:val="005A3EDB"/>
    <w:rsid w:val="005A40D1"/>
    <w:rsid w:val="005A6195"/>
    <w:rsid w:val="005A78B1"/>
    <w:rsid w:val="005B1A6C"/>
    <w:rsid w:val="005B2B1C"/>
    <w:rsid w:val="005B4F14"/>
    <w:rsid w:val="005B641F"/>
    <w:rsid w:val="005C17AE"/>
    <w:rsid w:val="005D15B4"/>
    <w:rsid w:val="005D1EEB"/>
    <w:rsid w:val="005E54EB"/>
    <w:rsid w:val="005E5D6C"/>
    <w:rsid w:val="005E5FD3"/>
    <w:rsid w:val="005F3B3F"/>
    <w:rsid w:val="005F4C2D"/>
    <w:rsid w:val="006004CE"/>
    <w:rsid w:val="00601476"/>
    <w:rsid w:val="006056C5"/>
    <w:rsid w:val="00607411"/>
    <w:rsid w:val="006111BD"/>
    <w:rsid w:val="00611ED3"/>
    <w:rsid w:val="0061501B"/>
    <w:rsid w:val="00617562"/>
    <w:rsid w:val="00624848"/>
    <w:rsid w:val="00624A0D"/>
    <w:rsid w:val="006263F6"/>
    <w:rsid w:val="00630879"/>
    <w:rsid w:val="006331BA"/>
    <w:rsid w:val="00633AC5"/>
    <w:rsid w:val="006366F5"/>
    <w:rsid w:val="00636DEB"/>
    <w:rsid w:val="0063729F"/>
    <w:rsid w:val="00637C69"/>
    <w:rsid w:val="00640281"/>
    <w:rsid w:val="00643D4F"/>
    <w:rsid w:val="006460AA"/>
    <w:rsid w:val="006465CA"/>
    <w:rsid w:val="00650DD1"/>
    <w:rsid w:val="006536E6"/>
    <w:rsid w:val="00653E71"/>
    <w:rsid w:val="00654972"/>
    <w:rsid w:val="00657334"/>
    <w:rsid w:val="00657924"/>
    <w:rsid w:val="00657A70"/>
    <w:rsid w:val="00661DA4"/>
    <w:rsid w:val="00665444"/>
    <w:rsid w:val="00666060"/>
    <w:rsid w:val="006665AC"/>
    <w:rsid w:val="00666B8E"/>
    <w:rsid w:val="006721FB"/>
    <w:rsid w:val="0068061D"/>
    <w:rsid w:val="0068413A"/>
    <w:rsid w:val="00684C62"/>
    <w:rsid w:val="00685C05"/>
    <w:rsid w:val="006863C5"/>
    <w:rsid w:val="006874DE"/>
    <w:rsid w:val="0069358C"/>
    <w:rsid w:val="00694D8B"/>
    <w:rsid w:val="00697948"/>
    <w:rsid w:val="006A0276"/>
    <w:rsid w:val="006A1E68"/>
    <w:rsid w:val="006A1EDB"/>
    <w:rsid w:val="006A2685"/>
    <w:rsid w:val="006A4DC6"/>
    <w:rsid w:val="006A4E1A"/>
    <w:rsid w:val="006A5E1C"/>
    <w:rsid w:val="006A6471"/>
    <w:rsid w:val="006B2EBA"/>
    <w:rsid w:val="006B3DD6"/>
    <w:rsid w:val="006B4206"/>
    <w:rsid w:val="006B48A5"/>
    <w:rsid w:val="006C0E28"/>
    <w:rsid w:val="006C4E29"/>
    <w:rsid w:val="006D302D"/>
    <w:rsid w:val="006D69C8"/>
    <w:rsid w:val="006E1096"/>
    <w:rsid w:val="006E36B0"/>
    <w:rsid w:val="006F0010"/>
    <w:rsid w:val="006F0DF5"/>
    <w:rsid w:val="006F3EAB"/>
    <w:rsid w:val="006F4C42"/>
    <w:rsid w:val="006F66CD"/>
    <w:rsid w:val="006F6C65"/>
    <w:rsid w:val="00700D57"/>
    <w:rsid w:val="00706036"/>
    <w:rsid w:val="00706053"/>
    <w:rsid w:val="0071190A"/>
    <w:rsid w:val="00713077"/>
    <w:rsid w:val="00715EE5"/>
    <w:rsid w:val="007200A8"/>
    <w:rsid w:val="00721EF5"/>
    <w:rsid w:val="0072315B"/>
    <w:rsid w:val="00724A21"/>
    <w:rsid w:val="00727998"/>
    <w:rsid w:val="00731D7A"/>
    <w:rsid w:val="0073290F"/>
    <w:rsid w:val="00732AAE"/>
    <w:rsid w:val="007341BE"/>
    <w:rsid w:val="00737A35"/>
    <w:rsid w:val="00740BB6"/>
    <w:rsid w:val="00740FD8"/>
    <w:rsid w:val="00745AA6"/>
    <w:rsid w:val="00750FD7"/>
    <w:rsid w:val="0075421C"/>
    <w:rsid w:val="007543E7"/>
    <w:rsid w:val="00754757"/>
    <w:rsid w:val="00757213"/>
    <w:rsid w:val="00757695"/>
    <w:rsid w:val="00763638"/>
    <w:rsid w:val="00763D97"/>
    <w:rsid w:val="00766347"/>
    <w:rsid w:val="00766627"/>
    <w:rsid w:val="00766976"/>
    <w:rsid w:val="00772788"/>
    <w:rsid w:val="00773B9E"/>
    <w:rsid w:val="0077767A"/>
    <w:rsid w:val="00783B5E"/>
    <w:rsid w:val="007921EC"/>
    <w:rsid w:val="007A3700"/>
    <w:rsid w:val="007A3D56"/>
    <w:rsid w:val="007A447C"/>
    <w:rsid w:val="007A4598"/>
    <w:rsid w:val="007A617E"/>
    <w:rsid w:val="007A6951"/>
    <w:rsid w:val="007A7A98"/>
    <w:rsid w:val="007C2AF2"/>
    <w:rsid w:val="007D0471"/>
    <w:rsid w:val="007D2E20"/>
    <w:rsid w:val="007D3A16"/>
    <w:rsid w:val="007D55D0"/>
    <w:rsid w:val="007E06AC"/>
    <w:rsid w:val="007E5BA3"/>
    <w:rsid w:val="007E7DDA"/>
    <w:rsid w:val="007F498A"/>
    <w:rsid w:val="007F6059"/>
    <w:rsid w:val="007F63E0"/>
    <w:rsid w:val="00804702"/>
    <w:rsid w:val="00804A41"/>
    <w:rsid w:val="00810759"/>
    <w:rsid w:val="008108E8"/>
    <w:rsid w:val="00816E17"/>
    <w:rsid w:val="008236F3"/>
    <w:rsid w:val="00823BCE"/>
    <w:rsid w:val="00824FD1"/>
    <w:rsid w:val="0082549D"/>
    <w:rsid w:val="008316A6"/>
    <w:rsid w:val="0083183D"/>
    <w:rsid w:val="0083504D"/>
    <w:rsid w:val="0084232C"/>
    <w:rsid w:val="008446F9"/>
    <w:rsid w:val="00847D1B"/>
    <w:rsid w:val="0085313D"/>
    <w:rsid w:val="00856D78"/>
    <w:rsid w:val="0085704F"/>
    <w:rsid w:val="0086070D"/>
    <w:rsid w:val="00861731"/>
    <w:rsid w:val="0086199E"/>
    <w:rsid w:val="00866E6F"/>
    <w:rsid w:val="00870289"/>
    <w:rsid w:val="00872180"/>
    <w:rsid w:val="008723DF"/>
    <w:rsid w:val="00873475"/>
    <w:rsid w:val="00880C83"/>
    <w:rsid w:val="00881451"/>
    <w:rsid w:val="00885C6D"/>
    <w:rsid w:val="00885D71"/>
    <w:rsid w:val="00886029"/>
    <w:rsid w:val="0088702A"/>
    <w:rsid w:val="00892B6A"/>
    <w:rsid w:val="00893BF7"/>
    <w:rsid w:val="00894B42"/>
    <w:rsid w:val="008A012E"/>
    <w:rsid w:val="008A1548"/>
    <w:rsid w:val="008A400F"/>
    <w:rsid w:val="008B1190"/>
    <w:rsid w:val="008B1328"/>
    <w:rsid w:val="008B374B"/>
    <w:rsid w:val="008B667F"/>
    <w:rsid w:val="008C626B"/>
    <w:rsid w:val="008C656B"/>
    <w:rsid w:val="008D0154"/>
    <w:rsid w:val="008D3524"/>
    <w:rsid w:val="008D3D36"/>
    <w:rsid w:val="008D5E4B"/>
    <w:rsid w:val="008D771E"/>
    <w:rsid w:val="008E11D7"/>
    <w:rsid w:val="008E2B7D"/>
    <w:rsid w:val="008E2FF8"/>
    <w:rsid w:val="008E779B"/>
    <w:rsid w:val="008F1D66"/>
    <w:rsid w:val="008F2C9F"/>
    <w:rsid w:val="008F3867"/>
    <w:rsid w:val="00900852"/>
    <w:rsid w:val="0090517E"/>
    <w:rsid w:val="00906A48"/>
    <w:rsid w:val="009121EC"/>
    <w:rsid w:val="00913C2B"/>
    <w:rsid w:val="0091695B"/>
    <w:rsid w:val="00920433"/>
    <w:rsid w:val="0092119E"/>
    <w:rsid w:val="009212CA"/>
    <w:rsid w:val="00922AE6"/>
    <w:rsid w:val="00933A19"/>
    <w:rsid w:val="00933FE2"/>
    <w:rsid w:val="00947FC3"/>
    <w:rsid w:val="00955EDF"/>
    <w:rsid w:val="00960DB6"/>
    <w:rsid w:val="009612DD"/>
    <w:rsid w:val="00964A93"/>
    <w:rsid w:val="0096715E"/>
    <w:rsid w:val="00967478"/>
    <w:rsid w:val="00970CA0"/>
    <w:rsid w:val="00971803"/>
    <w:rsid w:val="009737ED"/>
    <w:rsid w:val="00974550"/>
    <w:rsid w:val="00975912"/>
    <w:rsid w:val="00980020"/>
    <w:rsid w:val="00982A0D"/>
    <w:rsid w:val="00983024"/>
    <w:rsid w:val="009839D4"/>
    <w:rsid w:val="009867E3"/>
    <w:rsid w:val="00990408"/>
    <w:rsid w:val="00991768"/>
    <w:rsid w:val="0099378B"/>
    <w:rsid w:val="009A0ECD"/>
    <w:rsid w:val="009A37F4"/>
    <w:rsid w:val="009A39D6"/>
    <w:rsid w:val="009A4404"/>
    <w:rsid w:val="009A7660"/>
    <w:rsid w:val="009B10F9"/>
    <w:rsid w:val="009C267A"/>
    <w:rsid w:val="009C5CE9"/>
    <w:rsid w:val="009D11AD"/>
    <w:rsid w:val="009D549F"/>
    <w:rsid w:val="009D7516"/>
    <w:rsid w:val="009E13D3"/>
    <w:rsid w:val="009E1EB2"/>
    <w:rsid w:val="009E2B20"/>
    <w:rsid w:val="009E5756"/>
    <w:rsid w:val="009F0097"/>
    <w:rsid w:val="009F292C"/>
    <w:rsid w:val="00A00A12"/>
    <w:rsid w:val="00A039DC"/>
    <w:rsid w:val="00A05D01"/>
    <w:rsid w:val="00A06270"/>
    <w:rsid w:val="00A07D21"/>
    <w:rsid w:val="00A137EE"/>
    <w:rsid w:val="00A13A3C"/>
    <w:rsid w:val="00A17000"/>
    <w:rsid w:val="00A177D1"/>
    <w:rsid w:val="00A22299"/>
    <w:rsid w:val="00A22C8D"/>
    <w:rsid w:val="00A25E76"/>
    <w:rsid w:val="00A30618"/>
    <w:rsid w:val="00A375A2"/>
    <w:rsid w:val="00A434F6"/>
    <w:rsid w:val="00A45542"/>
    <w:rsid w:val="00A45BAF"/>
    <w:rsid w:val="00A46314"/>
    <w:rsid w:val="00A46AA3"/>
    <w:rsid w:val="00A52A3F"/>
    <w:rsid w:val="00A53CE4"/>
    <w:rsid w:val="00A5585D"/>
    <w:rsid w:val="00A56189"/>
    <w:rsid w:val="00A635B7"/>
    <w:rsid w:val="00A65692"/>
    <w:rsid w:val="00A6650D"/>
    <w:rsid w:val="00A70BBA"/>
    <w:rsid w:val="00A70E96"/>
    <w:rsid w:val="00A71AF0"/>
    <w:rsid w:val="00A8200A"/>
    <w:rsid w:val="00A84F3D"/>
    <w:rsid w:val="00A86BEE"/>
    <w:rsid w:val="00A958CD"/>
    <w:rsid w:val="00A95A6C"/>
    <w:rsid w:val="00AA0685"/>
    <w:rsid w:val="00AA5AFA"/>
    <w:rsid w:val="00AA5B04"/>
    <w:rsid w:val="00AA738F"/>
    <w:rsid w:val="00AB31C7"/>
    <w:rsid w:val="00AB34CA"/>
    <w:rsid w:val="00AB4EC7"/>
    <w:rsid w:val="00AC200B"/>
    <w:rsid w:val="00AC477D"/>
    <w:rsid w:val="00AD1458"/>
    <w:rsid w:val="00AD182C"/>
    <w:rsid w:val="00AD2E46"/>
    <w:rsid w:val="00AD33EB"/>
    <w:rsid w:val="00AD41E6"/>
    <w:rsid w:val="00AE057B"/>
    <w:rsid w:val="00AE0823"/>
    <w:rsid w:val="00AE32EB"/>
    <w:rsid w:val="00AE6438"/>
    <w:rsid w:val="00AE7C2E"/>
    <w:rsid w:val="00AF0B4B"/>
    <w:rsid w:val="00AF42EC"/>
    <w:rsid w:val="00AF64F3"/>
    <w:rsid w:val="00AF7467"/>
    <w:rsid w:val="00B02A1B"/>
    <w:rsid w:val="00B14319"/>
    <w:rsid w:val="00B207A5"/>
    <w:rsid w:val="00B21828"/>
    <w:rsid w:val="00B2263F"/>
    <w:rsid w:val="00B27AF2"/>
    <w:rsid w:val="00B31B33"/>
    <w:rsid w:val="00B32F0E"/>
    <w:rsid w:val="00B47411"/>
    <w:rsid w:val="00B47570"/>
    <w:rsid w:val="00B53F5F"/>
    <w:rsid w:val="00B54BAD"/>
    <w:rsid w:val="00B5535C"/>
    <w:rsid w:val="00B63688"/>
    <w:rsid w:val="00B64187"/>
    <w:rsid w:val="00B6529F"/>
    <w:rsid w:val="00B731A2"/>
    <w:rsid w:val="00B73945"/>
    <w:rsid w:val="00B739E9"/>
    <w:rsid w:val="00B74F1A"/>
    <w:rsid w:val="00B76AC2"/>
    <w:rsid w:val="00B81274"/>
    <w:rsid w:val="00B81800"/>
    <w:rsid w:val="00B902EA"/>
    <w:rsid w:val="00B91D83"/>
    <w:rsid w:val="00B94CA7"/>
    <w:rsid w:val="00B9561F"/>
    <w:rsid w:val="00B966A6"/>
    <w:rsid w:val="00B96F7E"/>
    <w:rsid w:val="00B972B9"/>
    <w:rsid w:val="00BA25CA"/>
    <w:rsid w:val="00BA63CC"/>
    <w:rsid w:val="00BB0001"/>
    <w:rsid w:val="00BB1108"/>
    <w:rsid w:val="00BB1B5A"/>
    <w:rsid w:val="00BB4AD8"/>
    <w:rsid w:val="00BC268A"/>
    <w:rsid w:val="00BC293F"/>
    <w:rsid w:val="00BC29B3"/>
    <w:rsid w:val="00BC3D77"/>
    <w:rsid w:val="00BC4AC0"/>
    <w:rsid w:val="00BC53CA"/>
    <w:rsid w:val="00BC59CF"/>
    <w:rsid w:val="00BC72E1"/>
    <w:rsid w:val="00BD1DC1"/>
    <w:rsid w:val="00BD1F3A"/>
    <w:rsid w:val="00BD3EC9"/>
    <w:rsid w:val="00BD7AD5"/>
    <w:rsid w:val="00BE1B26"/>
    <w:rsid w:val="00BE2FAE"/>
    <w:rsid w:val="00BE4C8D"/>
    <w:rsid w:val="00BF24AD"/>
    <w:rsid w:val="00BF3B63"/>
    <w:rsid w:val="00BF646D"/>
    <w:rsid w:val="00C00408"/>
    <w:rsid w:val="00C02D69"/>
    <w:rsid w:val="00C144E2"/>
    <w:rsid w:val="00C2330B"/>
    <w:rsid w:val="00C25016"/>
    <w:rsid w:val="00C3044C"/>
    <w:rsid w:val="00C3103C"/>
    <w:rsid w:val="00C31FAF"/>
    <w:rsid w:val="00C33828"/>
    <w:rsid w:val="00C40FE3"/>
    <w:rsid w:val="00C443E6"/>
    <w:rsid w:val="00C45B5C"/>
    <w:rsid w:val="00C469D0"/>
    <w:rsid w:val="00C50291"/>
    <w:rsid w:val="00C50615"/>
    <w:rsid w:val="00C56279"/>
    <w:rsid w:val="00C66763"/>
    <w:rsid w:val="00C67D1A"/>
    <w:rsid w:val="00C70038"/>
    <w:rsid w:val="00C717AF"/>
    <w:rsid w:val="00C7596A"/>
    <w:rsid w:val="00C8063D"/>
    <w:rsid w:val="00C906AD"/>
    <w:rsid w:val="00CA10B3"/>
    <w:rsid w:val="00CA152B"/>
    <w:rsid w:val="00CA1ECA"/>
    <w:rsid w:val="00CA34DC"/>
    <w:rsid w:val="00CB0870"/>
    <w:rsid w:val="00CB279D"/>
    <w:rsid w:val="00CB608A"/>
    <w:rsid w:val="00CC02FD"/>
    <w:rsid w:val="00CC543B"/>
    <w:rsid w:val="00CC5C34"/>
    <w:rsid w:val="00CD4436"/>
    <w:rsid w:val="00CD5008"/>
    <w:rsid w:val="00CE1C44"/>
    <w:rsid w:val="00CF25D1"/>
    <w:rsid w:val="00CF3648"/>
    <w:rsid w:val="00CF3DFA"/>
    <w:rsid w:val="00CF4FB2"/>
    <w:rsid w:val="00CF7B4E"/>
    <w:rsid w:val="00D018A9"/>
    <w:rsid w:val="00D061B4"/>
    <w:rsid w:val="00D071B3"/>
    <w:rsid w:val="00D14B00"/>
    <w:rsid w:val="00D16FEF"/>
    <w:rsid w:val="00D17242"/>
    <w:rsid w:val="00D21168"/>
    <w:rsid w:val="00D23EC7"/>
    <w:rsid w:val="00D26443"/>
    <w:rsid w:val="00D329B2"/>
    <w:rsid w:val="00D338F1"/>
    <w:rsid w:val="00D349DB"/>
    <w:rsid w:val="00D35C71"/>
    <w:rsid w:val="00D4552F"/>
    <w:rsid w:val="00D5134E"/>
    <w:rsid w:val="00D57F19"/>
    <w:rsid w:val="00D6129E"/>
    <w:rsid w:val="00D61EB4"/>
    <w:rsid w:val="00D719E8"/>
    <w:rsid w:val="00D71D04"/>
    <w:rsid w:val="00D72F04"/>
    <w:rsid w:val="00D740AC"/>
    <w:rsid w:val="00D751FA"/>
    <w:rsid w:val="00D81A3C"/>
    <w:rsid w:val="00D83539"/>
    <w:rsid w:val="00D8449A"/>
    <w:rsid w:val="00D90467"/>
    <w:rsid w:val="00D945F8"/>
    <w:rsid w:val="00D95C6E"/>
    <w:rsid w:val="00D96322"/>
    <w:rsid w:val="00D96B30"/>
    <w:rsid w:val="00D9746D"/>
    <w:rsid w:val="00D97E4C"/>
    <w:rsid w:val="00DA0765"/>
    <w:rsid w:val="00DA1766"/>
    <w:rsid w:val="00DA18AA"/>
    <w:rsid w:val="00DA24DA"/>
    <w:rsid w:val="00DA5E4D"/>
    <w:rsid w:val="00DA6ADF"/>
    <w:rsid w:val="00DA700A"/>
    <w:rsid w:val="00DB0671"/>
    <w:rsid w:val="00DB6288"/>
    <w:rsid w:val="00DB6706"/>
    <w:rsid w:val="00DB6BB9"/>
    <w:rsid w:val="00DB6F15"/>
    <w:rsid w:val="00DC0CAD"/>
    <w:rsid w:val="00DC2CA8"/>
    <w:rsid w:val="00DC3112"/>
    <w:rsid w:val="00DC6DDF"/>
    <w:rsid w:val="00DC7D42"/>
    <w:rsid w:val="00DD7585"/>
    <w:rsid w:val="00DE0850"/>
    <w:rsid w:val="00DE43F3"/>
    <w:rsid w:val="00DF1643"/>
    <w:rsid w:val="00DF4698"/>
    <w:rsid w:val="00DF733A"/>
    <w:rsid w:val="00DF7B64"/>
    <w:rsid w:val="00DF7D2B"/>
    <w:rsid w:val="00E04B59"/>
    <w:rsid w:val="00E0758F"/>
    <w:rsid w:val="00E078C9"/>
    <w:rsid w:val="00E142A4"/>
    <w:rsid w:val="00E160D7"/>
    <w:rsid w:val="00E2189B"/>
    <w:rsid w:val="00E21AA0"/>
    <w:rsid w:val="00E24B33"/>
    <w:rsid w:val="00E24D2B"/>
    <w:rsid w:val="00E25C89"/>
    <w:rsid w:val="00E3308B"/>
    <w:rsid w:val="00E337E7"/>
    <w:rsid w:val="00E35954"/>
    <w:rsid w:val="00E4025E"/>
    <w:rsid w:val="00E43206"/>
    <w:rsid w:val="00E4463E"/>
    <w:rsid w:val="00E46F77"/>
    <w:rsid w:val="00E4744C"/>
    <w:rsid w:val="00E47EFB"/>
    <w:rsid w:val="00E513B5"/>
    <w:rsid w:val="00E545C4"/>
    <w:rsid w:val="00E600AF"/>
    <w:rsid w:val="00E60F64"/>
    <w:rsid w:val="00E62AA8"/>
    <w:rsid w:val="00E62AF0"/>
    <w:rsid w:val="00E73A35"/>
    <w:rsid w:val="00E84017"/>
    <w:rsid w:val="00E841A1"/>
    <w:rsid w:val="00E87D00"/>
    <w:rsid w:val="00E9368D"/>
    <w:rsid w:val="00E94920"/>
    <w:rsid w:val="00EA2C9F"/>
    <w:rsid w:val="00EA5E1A"/>
    <w:rsid w:val="00EB249D"/>
    <w:rsid w:val="00EB33D0"/>
    <w:rsid w:val="00EB3912"/>
    <w:rsid w:val="00EB6C0A"/>
    <w:rsid w:val="00EB6FDA"/>
    <w:rsid w:val="00EC51CA"/>
    <w:rsid w:val="00EC67D8"/>
    <w:rsid w:val="00ED5329"/>
    <w:rsid w:val="00ED5D69"/>
    <w:rsid w:val="00ED6442"/>
    <w:rsid w:val="00ED7035"/>
    <w:rsid w:val="00ED737F"/>
    <w:rsid w:val="00EE0939"/>
    <w:rsid w:val="00EE3297"/>
    <w:rsid w:val="00EE464E"/>
    <w:rsid w:val="00EE4714"/>
    <w:rsid w:val="00EF1AF2"/>
    <w:rsid w:val="00EF4F0C"/>
    <w:rsid w:val="00F006F8"/>
    <w:rsid w:val="00F0280B"/>
    <w:rsid w:val="00F05F65"/>
    <w:rsid w:val="00F06932"/>
    <w:rsid w:val="00F10CEA"/>
    <w:rsid w:val="00F12112"/>
    <w:rsid w:val="00F15A75"/>
    <w:rsid w:val="00F170AF"/>
    <w:rsid w:val="00F234E9"/>
    <w:rsid w:val="00F23FED"/>
    <w:rsid w:val="00F25AF3"/>
    <w:rsid w:val="00F27A32"/>
    <w:rsid w:val="00F30A9E"/>
    <w:rsid w:val="00F37702"/>
    <w:rsid w:val="00F379FB"/>
    <w:rsid w:val="00F37B96"/>
    <w:rsid w:val="00F41C41"/>
    <w:rsid w:val="00F43006"/>
    <w:rsid w:val="00F46CF3"/>
    <w:rsid w:val="00F47293"/>
    <w:rsid w:val="00F47E05"/>
    <w:rsid w:val="00F50714"/>
    <w:rsid w:val="00F50735"/>
    <w:rsid w:val="00F52372"/>
    <w:rsid w:val="00F56CA6"/>
    <w:rsid w:val="00F57528"/>
    <w:rsid w:val="00F62A04"/>
    <w:rsid w:val="00F647A7"/>
    <w:rsid w:val="00F7565A"/>
    <w:rsid w:val="00F763EA"/>
    <w:rsid w:val="00F77E2E"/>
    <w:rsid w:val="00F8449B"/>
    <w:rsid w:val="00F8469E"/>
    <w:rsid w:val="00F85B8D"/>
    <w:rsid w:val="00F90A4D"/>
    <w:rsid w:val="00F95B01"/>
    <w:rsid w:val="00F95EB8"/>
    <w:rsid w:val="00F97A5E"/>
    <w:rsid w:val="00FA0A1F"/>
    <w:rsid w:val="00FA0B29"/>
    <w:rsid w:val="00FA1659"/>
    <w:rsid w:val="00FA3147"/>
    <w:rsid w:val="00FA36FA"/>
    <w:rsid w:val="00FA6AF2"/>
    <w:rsid w:val="00FA74FC"/>
    <w:rsid w:val="00FB4E76"/>
    <w:rsid w:val="00FB624E"/>
    <w:rsid w:val="00FB7014"/>
    <w:rsid w:val="00FC7045"/>
    <w:rsid w:val="00FD1202"/>
    <w:rsid w:val="00FD14A4"/>
    <w:rsid w:val="00FD37AC"/>
    <w:rsid w:val="00FD5E21"/>
    <w:rsid w:val="00FD7DB9"/>
    <w:rsid w:val="00FE45BB"/>
    <w:rsid w:val="00FE5EE3"/>
    <w:rsid w:val="00FE653F"/>
    <w:rsid w:val="00FE666E"/>
    <w:rsid w:val="00FE7814"/>
    <w:rsid w:val="00FF03B1"/>
    <w:rsid w:val="00FF2D41"/>
    <w:rsid w:val="00FF3195"/>
    <w:rsid w:val="00FF3673"/>
    <w:rsid w:val="00FF4EB8"/>
    <w:rsid w:val="00FF5B48"/>
    <w:rsid w:val="00FF7F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8F7A7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6" w:semiHidden="1"/>
    <w:lsdException w:name="toc 7" w:semiHidden="1"/>
    <w:lsdException w:name="toc 8" w:semiHidden="1"/>
    <w:lsdException w:name="toc 9" w:semiHidden="1"/>
    <w:lsdException w:name="annotation text" w:semiHidden="1"/>
    <w:lsdException w:name="caption" w:semiHidden="1" w:unhideWhenUsed="1" w:qFormat="1"/>
    <w:lsdException w:name="table of figures" w:semiHidden="1" w:unhideWhenUsed="1"/>
    <w:lsdException w:name="annotation reference" w:semiHidden="1"/>
    <w:lsdException w:name="line number" w:semiHidden="1"/>
    <w:lsdException w:name="endnote reference" w:semiHidden="1" w:unhideWhenUsed="1"/>
    <w:lsdException w:name="endnote text" w:semiHidden="1" w:unhideWhenUsed="1"/>
    <w:lsdException w:name="table of authorities" w:semiHidden="1"/>
    <w:lsdException w:name="macro" w:semiHidden="1"/>
    <w:lsdException w:name="Lis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Hyperlink" w:uiPriority="99"/>
    <w:lsdException w:name="FollowedHyperlink" w:semiHidden="1"/>
    <w:lsdException w:name="Strong" w:semiHidden="1" w:uiPriority="22" w:qFormat="1"/>
    <w:lsdException w:name="Emphasis" w:semiHidden="1" w:unhideWhenUsed="1" w:qFormat="1"/>
    <w:lsdException w:name="E-mail Signature" w:semiHidden="1"/>
    <w:lsdException w:name="Normal (Web)" w:semiHidden="1"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1FE"/>
    <w:pPr>
      <w:tabs>
        <w:tab w:val="left" w:pos="284"/>
      </w:tabs>
      <w:spacing w:after="120" w:line="280" w:lineRule="atLeast"/>
    </w:pPr>
  </w:style>
  <w:style w:type="paragraph" w:styleId="Rubrik1">
    <w:name w:val="heading 1"/>
    <w:basedOn w:val="Normal"/>
    <w:next w:val="Normal"/>
    <w:qFormat/>
    <w:rsid w:val="00FB4E76"/>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qFormat/>
    <w:rsid w:val="00BB1B5A"/>
    <w:pPr>
      <w:spacing w:before="60" w:after="60" w:line="260" w:lineRule="atLeast"/>
      <w:outlineLvl w:val="1"/>
    </w:pPr>
    <w:rPr>
      <w:i/>
      <w:sz w:val="25"/>
    </w:rPr>
  </w:style>
  <w:style w:type="paragraph" w:styleId="Rubrik3">
    <w:name w:val="heading 3"/>
    <w:basedOn w:val="Rubrik1"/>
    <w:next w:val="Normal"/>
    <w:qFormat/>
    <w:rsid w:val="00BB1B5A"/>
    <w:pPr>
      <w:spacing w:before="60" w:after="20" w:line="240" w:lineRule="atLeast"/>
      <w:outlineLvl w:val="2"/>
    </w:pPr>
    <w:rPr>
      <w:rFonts w:cs="Arial"/>
      <w:bCs/>
      <w:sz w:val="24"/>
      <w:szCs w:val="26"/>
    </w:rPr>
  </w:style>
  <w:style w:type="paragraph" w:styleId="Rubrik4">
    <w:name w:val="heading 4"/>
    <w:basedOn w:val="Rubrik1"/>
    <w:next w:val="Normal"/>
    <w:qFormat/>
    <w:rsid w:val="004A4562"/>
    <w:pPr>
      <w:spacing w:before="0" w:after="40" w:line="200" w:lineRule="atLeast"/>
      <w:outlineLvl w:val="3"/>
    </w:pPr>
    <w:rPr>
      <w:rFonts w:ascii="Times New Roman" w:hAnsi="Times New Roman"/>
      <w:bCs/>
      <w:sz w:val="22"/>
      <w:szCs w:val="28"/>
    </w:rPr>
  </w:style>
  <w:style w:type="paragraph" w:styleId="Rubrik5">
    <w:name w:val="heading 5"/>
    <w:basedOn w:val="Rubrik4"/>
    <w:next w:val="Normal"/>
    <w:qFormat/>
    <w:rsid w:val="00BB1B5A"/>
    <w:pPr>
      <w:outlineLvl w:val="4"/>
    </w:pPr>
    <w:rPr>
      <w:bCs w:val="0"/>
      <w:i/>
      <w:iCs/>
      <w:szCs w:val="26"/>
    </w:rPr>
  </w:style>
  <w:style w:type="paragraph" w:styleId="Rubrik6">
    <w:name w:val="heading 6"/>
    <w:basedOn w:val="Rubrik5"/>
    <w:next w:val="Normal"/>
    <w:qFormat/>
    <w:rsid w:val="00A86BEE"/>
    <w:pPr>
      <w:outlineLvl w:val="5"/>
    </w:pPr>
    <w:rPr>
      <w:b w:val="0"/>
      <w:bCs/>
      <w:szCs w:val="22"/>
    </w:rPr>
  </w:style>
  <w:style w:type="paragraph" w:styleId="Rubrik7">
    <w:name w:val="heading 7"/>
    <w:basedOn w:val="Rubrik6"/>
    <w:next w:val="Normal"/>
    <w:link w:val="Rubrik7Char"/>
    <w:semiHidden/>
    <w:unhideWhenUsed/>
    <w:qFormat/>
    <w:rsid w:val="00A86BEE"/>
    <w:pPr>
      <w:outlineLvl w:val="6"/>
    </w:pPr>
    <w:rPr>
      <w:rFonts w:eastAsiaTheme="majorEastAsia" w:cstheme="majorBidi"/>
      <w:iCs w:val="0"/>
    </w:rPr>
  </w:style>
  <w:style w:type="paragraph" w:styleId="Rubrik8">
    <w:name w:val="heading 8"/>
    <w:basedOn w:val="Rubrik6"/>
    <w:next w:val="Normal"/>
    <w:link w:val="Rubrik8Char"/>
    <w:semiHidden/>
    <w:unhideWhenUsed/>
    <w:qFormat/>
    <w:rsid w:val="00A86BEE"/>
    <w:pPr>
      <w:outlineLvl w:val="7"/>
    </w:pPr>
    <w:rPr>
      <w:rFonts w:eastAsiaTheme="majorEastAsia" w:cstheme="majorBidi"/>
      <w:szCs w:val="21"/>
    </w:rPr>
  </w:style>
  <w:style w:type="paragraph" w:styleId="Rubrik9">
    <w:name w:val="heading 9"/>
    <w:basedOn w:val="Rubrik6"/>
    <w:next w:val="Normal"/>
    <w:link w:val="Rubrik9Char"/>
    <w:semiHidden/>
    <w:unhideWhenUsed/>
    <w:qFormat/>
    <w:rsid w:val="00A86BEE"/>
    <w:pPr>
      <w:outlineLvl w:val="8"/>
    </w:pPr>
    <w:rPr>
      <w:rFonts w:eastAsiaTheme="majorEastAsia" w:cstheme="majorBidi"/>
      <w:iCs w:val="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spacing w:after="0"/>
    </w:pPr>
  </w:style>
  <w:style w:type="paragraph" w:styleId="Sidfot">
    <w:name w:val="footer"/>
    <w:basedOn w:val="Normal"/>
    <w:semiHidden/>
    <w:rsid w:val="00494C11"/>
    <w:pPr>
      <w:spacing w:line="220" w:lineRule="atLeast"/>
    </w:pPr>
    <w:rPr>
      <w:rFonts w:ascii="GillSans Pro for Riksdagen Lt" w:hAnsi="GillSans Pro for Riksdagen Lt"/>
      <w:sz w:val="18"/>
    </w:rPr>
  </w:style>
  <w:style w:type="paragraph" w:customStyle="1" w:styleId="logo">
    <w:name w:val="logo"/>
    <w:basedOn w:val="Normal"/>
    <w:semiHidden/>
    <w:pPr>
      <w:framePr w:wrap="around" w:vAnchor="page" w:hAnchor="page" w:x="7939" w:y="511" w:anchorLock="1"/>
      <w:spacing w:after="0" w:line="240" w:lineRule="auto"/>
    </w:pPr>
    <w:rPr>
      <w:sz w:val="20"/>
    </w:rPr>
  </w:style>
  <w:style w:type="character" w:styleId="Sidnummer">
    <w:name w:val="page number"/>
    <w:basedOn w:val="Standardstycketeckensnitt"/>
    <w:semiHidden/>
    <w:rsid w:val="004728AD"/>
    <w:rPr>
      <w:rFonts w:ascii="GillSans Pro for Riksdagen Lt" w:hAnsi="GillSans Pro for Riksdagen Lt"/>
      <w:sz w:val="18"/>
      <w:vertAlign w:val="baseline"/>
    </w:rPr>
  </w:style>
  <w:style w:type="paragraph" w:customStyle="1" w:styleId="logo2">
    <w:name w:val="logo2"/>
    <w:basedOn w:val="logo"/>
    <w:semiHidden/>
    <w:pPr>
      <w:framePr w:wrap="around" w:x="9016"/>
    </w:pPr>
  </w:style>
  <w:style w:type="paragraph" w:customStyle="1" w:styleId="NormalCourier">
    <w:name w:val="NormalCourier"/>
    <w:basedOn w:val="Normal"/>
    <w:semiHidden/>
    <w:rPr>
      <w:rFonts w:ascii="Courier" w:hAnsi="Courier"/>
    </w:rPr>
  </w:style>
  <w:style w:type="paragraph" w:customStyle="1" w:styleId="KantHuvud">
    <w:name w:val="KantHuvud"/>
    <w:basedOn w:val="Normal"/>
    <w:semiHidden/>
    <w:pPr>
      <w:framePr w:w="2552" w:hSpace="284" w:wrap="around" w:vAnchor="page" w:hAnchor="page" w:x="8279" w:y="2326" w:anchorLock="1"/>
      <w:spacing w:after="0"/>
    </w:pPr>
  </w:style>
  <w:style w:type="table" w:styleId="Tabellrutnt">
    <w:name w:val="Table Grid"/>
    <w:basedOn w:val="Normaltabell"/>
    <w:uiPriority w:val="59"/>
    <w:rsid w:val="00D2116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fotNamn">
    <w:name w:val="SidfotNamn"/>
    <w:next w:val="SidfotBrdtext"/>
    <w:semiHidden/>
    <w:rsid w:val="00C50615"/>
    <w:pPr>
      <w:tabs>
        <w:tab w:val="left" w:pos="4320"/>
      </w:tabs>
      <w:spacing w:after="50" w:line="220" w:lineRule="exact"/>
    </w:pPr>
    <w:rPr>
      <w:rFonts w:ascii="GillSans Pro for Riksdagen Md" w:hAnsi="GillSans Pro for Riksdagen Md"/>
      <w:sz w:val="19"/>
    </w:rPr>
  </w:style>
  <w:style w:type="paragraph" w:customStyle="1" w:styleId="SidfotBrdtext">
    <w:name w:val="SidfotBrödtext"/>
    <w:basedOn w:val="SidfotNamn"/>
    <w:semiHidden/>
    <w:rsid w:val="00C50615"/>
    <w:pPr>
      <w:spacing w:after="0"/>
    </w:pPr>
    <w:rPr>
      <w:rFonts w:ascii="GillSans Pro for Riksdagen Lt" w:hAnsi="GillSans Pro for Riksdagen Lt"/>
      <w:sz w:val="18"/>
    </w:rPr>
  </w:style>
  <w:style w:type="paragraph" w:styleId="Oformateradtext">
    <w:name w:val="Plain Text"/>
    <w:basedOn w:val="Normal"/>
    <w:semiHidden/>
    <w:rsid w:val="007A447C"/>
    <w:rPr>
      <w:rFonts w:cs="Courier New"/>
      <w:szCs w:val="20"/>
    </w:rPr>
  </w:style>
  <w:style w:type="paragraph" w:customStyle="1" w:styleId="PMrubrik">
    <w:name w:val="PMrubrik"/>
    <w:next w:val="Normal"/>
    <w:semiHidden/>
    <w:rsid w:val="00EB33D0"/>
    <w:pPr>
      <w:spacing w:line="280" w:lineRule="atLeast"/>
    </w:pPr>
    <w:rPr>
      <w:rFonts w:ascii="GillSans Pro for Riksdagen Md" w:hAnsi="GillSans Pro for Riksdagen Md"/>
      <w:b/>
      <w:sz w:val="36"/>
      <w:szCs w:val="36"/>
    </w:rPr>
  </w:style>
  <w:style w:type="paragraph" w:customStyle="1" w:styleId="NormalKompakt">
    <w:name w:val="NormalKompakt"/>
    <w:basedOn w:val="Normal"/>
    <w:semiHidden/>
    <w:rsid w:val="00CF25D1"/>
    <w:pPr>
      <w:spacing w:after="0" w:line="240" w:lineRule="auto"/>
    </w:pPr>
    <w:rPr>
      <w:lang w:val="en-GB"/>
    </w:rPr>
  </w:style>
  <w:style w:type="paragraph" w:customStyle="1" w:styleId="Titelrubrik">
    <w:name w:val="Titelrubrik"/>
    <w:basedOn w:val="Rubrik1"/>
    <w:semiHidden/>
    <w:rsid w:val="004A0FAA"/>
    <w:rPr>
      <w:sz w:val="36"/>
    </w:rPr>
  </w:style>
  <w:style w:type="paragraph" w:styleId="Innehll1">
    <w:name w:val="toc 1"/>
    <w:basedOn w:val="NormalKompakt"/>
    <w:next w:val="Normal"/>
    <w:autoRedefine/>
    <w:uiPriority w:val="39"/>
    <w:rsid w:val="00E4463E"/>
    <w:pPr>
      <w:tabs>
        <w:tab w:val="clear" w:pos="284"/>
      </w:tabs>
    </w:pPr>
  </w:style>
  <w:style w:type="paragraph" w:styleId="Innehll2">
    <w:name w:val="toc 2"/>
    <w:basedOn w:val="NormalKompakt"/>
    <w:next w:val="Normal"/>
    <w:autoRedefine/>
    <w:uiPriority w:val="39"/>
    <w:rsid w:val="00E4463E"/>
    <w:pPr>
      <w:tabs>
        <w:tab w:val="clear" w:pos="284"/>
      </w:tabs>
      <w:ind w:left="220"/>
    </w:pPr>
  </w:style>
  <w:style w:type="character" w:styleId="Hyperlnk">
    <w:name w:val="Hyperlink"/>
    <w:basedOn w:val="Standardstycketeckensnitt"/>
    <w:uiPriority w:val="99"/>
    <w:rsid w:val="00E4463E"/>
    <w:rPr>
      <w:color w:val="0000FF"/>
      <w:u w:val="single"/>
    </w:rPr>
  </w:style>
  <w:style w:type="paragraph" w:customStyle="1" w:styleId="FormatmallPMrubrik14pt">
    <w:name w:val="Formatmall PMrubrik + 14 pt"/>
    <w:basedOn w:val="PMrubrik"/>
    <w:unhideWhenUsed/>
    <w:rsid w:val="00204F59"/>
    <w:pPr>
      <w:spacing w:after="120"/>
    </w:pPr>
    <w:rPr>
      <w:bCs/>
      <w:caps/>
      <w:sz w:val="28"/>
    </w:rPr>
  </w:style>
  <w:style w:type="paragraph" w:customStyle="1" w:styleId="Punktlistautanluft">
    <w:name w:val="Punktlista utan luft"/>
    <w:basedOn w:val="Normal"/>
    <w:uiPriority w:val="49"/>
    <w:rsid w:val="00E9368D"/>
    <w:pPr>
      <w:numPr>
        <w:numId w:val="15"/>
      </w:numPr>
      <w:spacing w:after="0"/>
      <w:ind w:left="266" w:hanging="266"/>
    </w:pPr>
  </w:style>
  <w:style w:type="paragraph" w:styleId="Punktlista">
    <w:name w:val="List Bullet"/>
    <w:basedOn w:val="Normal"/>
    <w:semiHidden/>
    <w:rsid w:val="00D97E4C"/>
    <w:pPr>
      <w:numPr>
        <w:numId w:val="16"/>
      </w:numPr>
      <w:spacing w:after="0"/>
    </w:pPr>
  </w:style>
  <w:style w:type="paragraph" w:styleId="Punktlista2">
    <w:name w:val="List Bullet 2"/>
    <w:basedOn w:val="Punktlistautanluft"/>
    <w:semiHidden/>
    <w:rsid w:val="00E9368D"/>
    <w:pPr>
      <w:numPr>
        <w:ilvl w:val="1"/>
      </w:numPr>
    </w:pPr>
  </w:style>
  <w:style w:type="paragraph" w:styleId="Punktlista3">
    <w:name w:val="List Bullet 3"/>
    <w:basedOn w:val="Punktlista2"/>
    <w:semiHidden/>
    <w:rsid w:val="00E9368D"/>
    <w:pPr>
      <w:numPr>
        <w:ilvl w:val="2"/>
      </w:numPr>
    </w:pPr>
  </w:style>
  <w:style w:type="paragraph" w:styleId="Punktlista4">
    <w:name w:val="List Bullet 4"/>
    <w:basedOn w:val="Punktlista3"/>
    <w:semiHidden/>
    <w:rsid w:val="00E9368D"/>
    <w:pPr>
      <w:numPr>
        <w:ilvl w:val="3"/>
      </w:numPr>
    </w:pPr>
  </w:style>
  <w:style w:type="paragraph" w:styleId="Fotnotstext">
    <w:name w:val="footnote text"/>
    <w:basedOn w:val="Normal"/>
    <w:semiHidden/>
    <w:rsid w:val="002451C3"/>
    <w:pPr>
      <w:spacing w:after="40" w:line="200" w:lineRule="atLeast"/>
      <w:ind w:left="113" w:hanging="113"/>
    </w:pPr>
    <w:rPr>
      <w:sz w:val="18"/>
      <w:szCs w:val="20"/>
    </w:rPr>
  </w:style>
  <w:style w:type="character" w:styleId="Fotnotsreferens">
    <w:name w:val="footnote reference"/>
    <w:basedOn w:val="Standardstycketeckensnitt"/>
    <w:semiHidden/>
    <w:rsid w:val="00C45B5C"/>
    <w:rPr>
      <w:vertAlign w:val="superscript"/>
    </w:rPr>
  </w:style>
  <w:style w:type="paragraph" w:customStyle="1" w:styleId="SidfotEnhet">
    <w:name w:val="SidfotEnhet"/>
    <w:basedOn w:val="SidfotNamn"/>
    <w:next w:val="SidfotBrdtext"/>
    <w:semiHidden/>
    <w:rsid w:val="004633A8"/>
    <w:rPr>
      <w:sz w:val="20"/>
    </w:rPr>
  </w:style>
  <w:style w:type="paragraph" w:styleId="Innehll3">
    <w:name w:val="toc 3"/>
    <w:basedOn w:val="NormalKompakt"/>
    <w:next w:val="Normal"/>
    <w:autoRedefine/>
    <w:uiPriority w:val="39"/>
    <w:rsid w:val="005E5FD3"/>
    <w:pPr>
      <w:tabs>
        <w:tab w:val="clear" w:pos="284"/>
      </w:tabs>
      <w:ind w:left="440"/>
    </w:pPr>
  </w:style>
  <w:style w:type="paragraph" w:styleId="Innehll4">
    <w:name w:val="toc 4"/>
    <w:basedOn w:val="NormalKompakt"/>
    <w:next w:val="Normal"/>
    <w:autoRedefine/>
    <w:semiHidden/>
    <w:rsid w:val="005E5FD3"/>
    <w:pPr>
      <w:tabs>
        <w:tab w:val="clear" w:pos="284"/>
      </w:tabs>
      <w:ind w:left="660"/>
    </w:pPr>
  </w:style>
  <w:style w:type="paragraph" w:styleId="Innehll5">
    <w:name w:val="toc 5"/>
    <w:basedOn w:val="NormalKompakt"/>
    <w:next w:val="Normal"/>
    <w:autoRedefine/>
    <w:semiHidden/>
    <w:rsid w:val="005E5FD3"/>
    <w:pPr>
      <w:tabs>
        <w:tab w:val="clear" w:pos="284"/>
      </w:tabs>
      <w:ind w:left="880"/>
    </w:pPr>
  </w:style>
  <w:style w:type="paragraph" w:styleId="Adress-brev">
    <w:name w:val="envelope address"/>
    <w:basedOn w:val="Normal"/>
    <w:semiHidden/>
    <w:rsid w:val="007A447C"/>
    <w:pPr>
      <w:framePr w:w="7920" w:h="1980" w:hRule="exact" w:hSpace="180" w:wrap="auto" w:hAnchor="page" w:xAlign="center" w:yAlign="bottom"/>
      <w:spacing w:after="0" w:line="240" w:lineRule="auto"/>
      <w:ind w:left="2880"/>
    </w:pPr>
    <w:rPr>
      <w:rFonts w:ascii="GillSans Pro for Riksdagen Lt" w:eastAsiaTheme="majorEastAsia" w:hAnsi="GillSans Pro for Riksdagen Lt" w:cstheme="majorBidi"/>
      <w:szCs w:val="24"/>
    </w:rPr>
  </w:style>
  <w:style w:type="paragraph" w:styleId="Avsndaradress-brev">
    <w:name w:val="envelope return"/>
    <w:basedOn w:val="Normal"/>
    <w:semiHidden/>
    <w:rsid w:val="007A447C"/>
    <w:pPr>
      <w:spacing w:after="0" w:line="240" w:lineRule="auto"/>
    </w:pPr>
    <w:rPr>
      <w:rFonts w:ascii="GillSans Pro for Riksdagen Lt" w:eastAsiaTheme="majorEastAsia" w:hAnsi="GillSans Pro for Riksdagen Lt" w:cstheme="majorBidi"/>
      <w:szCs w:val="20"/>
    </w:rPr>
  </w:style>
  <w:style w:type="paragraph" w:styleId="Ballongtext">
    <w:name w:val="Balloon Text"/>
    <w:basedOn w:val="Normal"/>
    <w:link w:val="BallongtextChar"/>
    <w:semiHidden/>
    <w:rsid w:val="007A447C"/>
    <w:pPr>
      <w:spacing w:after="0" w:line="240" w:lineRule="auto"/>
    </w:pPr>
    <w:rPr>
      <w:rFonts w:cs="Segoe UI"/>
      <w:sz w:val="18"/>
      <w:szCs w:val="18"/>
    </w:rPr>
  </w:style>
  <w:style w:type="character" w:customStyle="1" w:styleId="BallongtextChar">
    <w:name w:val="Ballongtext Char"/>
    <w:basedOn w:val="Standardstycketeckensnitt"/>
    <w:link w:val="Ballongtext"/>
    <w:semiHidden/>
    <w:rsid w:val="00C40FE3"/>
    <w:rPr>
      <w:rFonts w:cs="Segoe UI"/>
      <w:sz w:val="18"/>
      <w:szCs w:val="18"/>
    </w:rPr>
  </w:style>
  <w:style w:type="paragraph" w:styleId="Beskrivning">
    <w:name w:val="caption"/>
    <w:basedOn w:val="Normal"/>
    <w:next w:val="Normal"/>
    <w:qFormat/>
    <w:rsid w:val="00552D66"/>
    <w:pPr>
      <w:spacing w:before="120" w:after="60" w:line="240" w:lineRule="auto"/>
      <w:contextualSpacing/>
    </w:pPr>
    <w:rPr>
      <w:b/>
      <w:i/>
      <w:iCs/>
      <w:szCs w:val="18"/>
    </w:rPr>
  </w:style>
  <w:style w:type="paragraph" w:styleId="Citatfrteckningsrubrik">
    <w:name w:val="toa heading"/>
    <w:basedOn w:val="Rubrik3"/>
    <w:next w:val="Normal"/>
    <w:semiHidden/>
    <w:rsid w:val="007A447C"/>
    <w:rPr>
      <w:rFonts w:eastAsiaTheme="majorEastAsia" w:cstheme="majorBidi"/>
      <w:bCs w:val="0"/>
      <w:szCs w:val="24"/>
    </w:rPr>
  </w:style>
  <w:style w:type="paragraph" w:styleId="Dokumentversikt">
    <w:name w:val="Document Map"/>
    <w:basedOn w:val="Normal"/>
    <w:link w:val="DokumentversiktChar"/>
    <w:semiHidden/>
    <w:rsid w:val="007A447C"/>
    <w:pPr>
      <w:spacing w:after="0" w:line="240" w:lineRule="auto"/>
    </w:pPr>
    <w:rPr>
      <w:rFonts w:cs="Segoe UI"/>
      <w:sz w:val="16"/>
      <w:szCs w:val="16"/>
    </w:rPr>
  </w:style>
  <w:style w:type="character" w:customStyle="1" w:styleId="DokumentversiktChar">
    <w:name w:val="Dokumentöversikt Char"/>
    <w:basedOn w:val="Standardstycketeckensnitt"/>
    <w:link w:val="Dokumentversikt"/>
    <w:semiHidden/>
    <w:rsid w:val="00FE7814"/>
    <w:rPr>
      <w:rFonts w:cs="Segoe UI"/>
      <w:sz w:val="16"/>
      <w:szCs w:val="16"/>
    </w:rPr>
  </w:style>
  <w:style w:type="paragraph" w:styleId="Index1">
    <w:name w:val="index 1"/>
    <w:basedOn w:val="Normal"/>
    <w:next w:val="Normal"/>
    <w:autoRedefine/>
    <w:semiHidden/>
    <w:rsid w:val="007A447C"/>
    <w:pPr>
      <w:tabs>
        <w:tab w:val="clear" w:pos="284"/>
      </w:tabs>
      <w:spacing w:after="0" w:line="240" w:lineRule="auto"/>
      <w:ind w:left="220" w:hanging="220"/>
    </w:pPr>
  </w:style>
  <w:style w:type="paragraph" w:styleId="Indexrubrik">
    <w:name w:val="index heading"/>
    <w:basedOn w:val="Rubrik3"/>
    <w:next w:val="Index1"/>
    <w:semiHidden/>
    <w:rsid w:val="007A447C"/>
    <w:rPr>
      <w:rFonts w:eastAsiaTheme="majorEastAsia" w:cstheme="majorBidi"/>
      <w:bCs w:val="0"/>
    </w:rPr>
  </w:style>
  <w:style w:type="paragraph" w:styleId="Indragetstycke">
    <w:name w:val="Block Text"/>
    <w:basedOn w:val="Normal"/>
    <w:semiHidden/>
    <w:rsid w:val="007A447C"/>
    <w:pPr>
      <w:ind w:left="1152" w:right="1152"/>
    </w:pPr>
    <w:rPr>
      <w:rFonts w:eastAsiaTheme="minorEastAsia" w:cstheme="minorBidi"/>
      <w:i/>
      <w:iCs/>
    </w:rPr>
  </w:style>
  <w:style w:type="paragraph" w:styleId="Meddelanderubrik">
    <w:name w:val="Message Header"/>
    <w:basedOn w:val="Rubrik3"/>
    <w:link w:val="MeddelanderubrikChar"/>
    <w:semiHidden/>
    <w:rsid w:val="007A447C"/>
    <w:pPr>
      <w:spacing w:line="240" w:lineRule="auto"/>
      <w:ind w:left="1134" w:hanging="1134"/>
    </w:pPr>
    <w:rPr>
      <w:rFonts w:eastAsiaTheme="majorEastAsia" w:cstheme="majorBidi"/>
      <w:szCs w:val="24"/>
    </w:rPr>
  </w:style>
  <w:style w:type="character" w:customStyle="1" w:styleId="MeddelanderubrikChar">
    <w:name w:val="Meddelanderubrik Char"/>
    <w:basedOn w:val="Standardstycketeckensnitt"/>
    <w:link w:val="Meddelanderubrik"/>
    <w:semiHidden/>
    <w:rsid w:val="0069358C"/>
    <w:rPr>
      <w:rFonts w:ascii="GillSans Pro for Riksdagen Md" w:eastAsiaTheme="majorEastAsia" w:hAnsi="GillSans Pro for Riksdagen Md" w:cstheme="majorBidi"/>
      <w:b/>
      <w:bCs/>
      <w:kern w:val="28"/>
      <w:sz w:val="24"/>
      <w:szCs w:val="24"/>
    </w:rPr>
  </w:style>
  <w:style w:type="paragraph" w:styleId="Rubrik">
    <w:name w:val="Title"/>
    <w:basedOn w:val="Normal"/>
    <w:next w:val="Normal"/>
    <w:link w:val="RubrikChar"/>
    <w:semiHidden/>
    <w:qFormat/>
    <w:rsid w:val="007A447C"/>
    <w:pPr>
      <w:spacing w:after="0" w:line="240" w:lineRule="auto"/>
      <w:contextualSpacing/>
    </w:pPr>
    <w:rPr>
      <w:rFonts w:ascii="GillSans Pro for Riksdagen Md" w:eastAsiaTheme="majorEastAsia" w:hAnsi="GillSans Pro for Riksdagen Md" w:cstheme="majorBidi"/>
      <w:b/>
      <w:spacing w:val="-10"/>
      <w:kern w:val="28"/>
      <w:sz w:val="56"/>
      <w:szCs w:val="56"/>
    </w:rPr>
  </w:style>
  <w:style w:type="character" w:customStyle="1" w:styleId="RubrikChar">
    <w:name w:val="Rubrik Char"/>
    <w:basedOn w:val="Standardstycketeckensnitt"/>
    <w:link w:val="Rubrik"/>
    <w:semiHidden/>
    <w:rsid w:val="00021B02"/>
    <w:rPr>
      <w:rFonts w:ascii="GillSans Pro for Riksdagen Md" w:eastAsiaTheme="majorEastAsia" w:hAnsi="GillSans Pro for Riksdagen Md" w:cstheme="majorBidi"/>
      <w:b/>
      <w:spacing w:val="-10"/>
      <w:kern w:val="28"/>
      <w:sz w:val="56"/>
      <w:szCs w:val="56"/>
    </w:rPr>
  </w:style>
  <w:style w:type="character" w:customStyle="1" w:styleId="Rubrik7Char">
    <w:name w:val="Rubrik 7 Char"/>
    <w:basedOn w:val="Standardstycketeckensnitt"/>
    <w:link w:val="Rubrik7"/>
    <w:semiHidden/>
    <w:rsid w:val="00A86BEE"/>
    <w:rPr>
      <w:rFonts w:eastAsiaTheme="majorEastAsia" w:cstheme="majorBidi"/>
      <w:bCs/>
      <w:i/>
      <w:kern w:val="28"/>
      <w:sz w:val="22"/>
      <w:szCs w:val="22"/>
    </w:rPr>
  </w:style>
  <w:style w:type="character" w:customStyle="1" w:styleId="Rubrik8Char">
    <w:name w:val="Rubrik 8 Char"/>
    <w:basedOn w:val="Standardstycketeckensnitt"/>
    <w:link w:val="Rubrik8"/>
    <w:semiHidden/>
    <w:rsid w:val="00A86BEE"/>
    <w:rPr>
      <w:rFonts w:eastAsiaTheme="majorEastAsia" w:cstheme="majorBidi"/>
      <w:bCs/>
      <w:i/>
      <w:iCs/>
      <w:kern w:val="28"/>
      <w:sz w:val="22"/>
      <w:szCs w:val="21"/>
    </w:rPr>
  </w:style>
  <w:style w:type="character" w:customStyle="1" w:styleId="Rubrik9Char">
    <w:name w:val="Rubrik 9 Char"/>
    <w:basedOn w:val="Standardstycketeckensnitt"/>
    <w:link w:val="Rubrik9"/>
    <w:semiHidden/>
    <w:rsid w:val="00A86BEE"/>
    <w:rPr>
      <w:rFonts w:eastAsiaTheme="majorEastAsia" w:cstheme="majorBidi"/>
      <w:bCs/>
      <w:i/>
      <w:kern w:val="28"/>
      <w:sz w:val="22"/>
      <w:szCs w:val="21"/>
    </w:rPr>
  </w:style>
  <w:style w:type="paragraph" w:styleId="Underrubrik">
    <w:name w:val="Subtitle"/>
    <w:basedOn w:val="Rubrik3"/>
    <w:next w:val="Normal"/>
    <w:link w:val="UnderrubrikChar"/>
    <w:semiHidden/>
    <w:qFormat/>
    <w:rsid w:val="00A86BEE"/>
    <w:pPr>
      <w:numPr>
        <w:ilvl w:val="1"/>
      </w:numPr>
    </w:pPr>
    <w:rPr>
      <w:rFonts w:eastAsiaTheme="minorEastAsia" w:cstheme="minorBidi"/>
      <w:szCs w:val="22"/>
    </w:rPr>
  </w:style>
  <w:style w:type="character" w:customStyle="1" w:styleId="UnderrubrikChar">
    <w:name w:val="Underrubrik Char"/>
    <w:basedOn w:val="Standardstycketeckensnitt"/>
    <w:link w:val="Underrubrik"/>
    <w:semiHidden/>
    <w:rsid w:val="00021B02"/>
    <w:rPr>
      <w:rFonts w:ascii="GillSans Pro for Riksdagen Md" w:eastAsiaTheme="minorEastAsia" w:hAnsi="GillSans Pro for Riksdagen Md" w:cstheme="minorBidi"/>
      <w:b/>
      <w:bCs/>
      <w:kern w:val="28"/>
      <w:sz w:val="24"/>
    </w:rPr>
  </w:style>
  <w:style w:type="character" w:styleId="Diskretbetoning">
    <w:name w:val="Subtle Emphasis"/>
    <w:basedOn w:val="Standardstycketeckensnitt"/>
    <w:uiPriority w:val="19"/>
    <w:semiHidden/>
    <w:qFormat/>
    <w:rsid w:val="00A86BEE"/>
    <w:rPr>
      <w:i/>
      <w:iCs/>
      <w:color w:val="auto"/>
    </w:rPr>
  </w:style>
  <w:style w:type="character" w:styleId="Starkbetoning">
    <w:name w:val="Intense Emphasis"/>
    <w:basedOn w:val="Standardstycketeckensnitt"/>
    <w:uiPriority w:val="21"/>
    <w:semiHidden/>
    <w:qFormat/>
    <w:rsid w:val="00A86BEE"/>
    <w:rPr>
      <w:i/>
      <w:iCs/>
      <w:color w:val="auto"/>
    </w:rPr>
  </w:style>
  <w:style w:type="paragraph" w:styleId="Starktcitat">
    <w:name w:val="Intense Quote"/>
    <w:basedOn w:val="Normal"/>
    <w:next w:val="Normal"/>
    <w:link w:val="StarktcitatChar"/>
    <w:uiPriority w:val="30"/>
    <w:semiHidden/>
    <w:qFormat/>
    <w:rsid w:val="00A86BEE"/>
    <w:pPr>
      <w:spacing w:before="360" w:after="360"/>
      <w:ind w:left="864" w:right="864"/>
      <w:jc w:val="center"/>
    </w:pPr>
    <w:rPr>
      <w:i/>
      <w:iCs/>
    </w:rPr>
  </w:style>
  <w:style w:type="character" w:customStyle="1" w:styleId="StarktcitatChar">
    <w:name w:val="Starkt citat Char"/>
    <w:basedOn w:val="Standardstycketeckensnitt"/>
    <w:link w:val="Starktcitat"/>
    <w:uiPriority w:val="30"/>
    <w:semiHidden/>
    <w:rsid w:val="0069358C"/>
    <w:rPr>
      <w:i/>
      <w:iCs/>
    </w:rPr>
  </w:style>
  <w:style w:type="character" w:styleId="Diskretreferens">
    <w:name w:val="Subtle Reference"/>
    <w:basedOn w:val="Standardstycketeckensnitt"/>
    <w:uiPriority w:val="31"/>
    <w:semiHidden/>
    <w:qFormat/>
    <w:rsid w:val="00A86BEE"/>
    <w:rPr>
      <w:smallCaps/>
      <w:color w:val="auto"/>
    </w:rPr>
  </w:style>
  <w:style w:type="character" w:styleId="Starkreferens">
    <w:name w:val="Intense Reference"/>
    <w:basedOn w:val="Standardstycketeckensnitt"/>
    <w:uiPriority w:val="32"/>
    <w:semiHidden/>
    <w:qFormat/>
    <w:rsid w:val="00A86BEE"/>
    <w:rPr>
      <w:b/>
      <w:bCs/>
      <w:smallCaps/>
      <w:color w:val="auto"/>
      <w:spacing w:val="5"/>
    </w:rPr>
  </w:style>
  <w:style w:type="paragraph" w:styleId="Innehllsfrteckningsrubrik">
    <w:name w:val="TOC Heading"/>
    <w:basedOn w:val="Rubrik1"/>
    <w:next w:val="Normal"/>
    <w:uiPriority w:val="39"/>
    <w:unhideWhenUsed/>
    <w:qFormat/>
    <w:rsid w:val="00A86BEE"/>
    <w:pPr>
      <w:outlineLvl w:val="9"/>
    </w:pPr>
    <w:rPr>
      <w:rFonts w:eastAsiaTheme="majorEastAsia" w:cstheme="majorBidi"/>
      <w:kern w:val="0"/>
      <w:szCs w:val="32"/>
    </w:rPr>
  </w:style>
  <w:style w:type="paragraph" w:customStyle="1" w:styleId="Punktlistabomb">
    <w:name w:val="Punktlista bomb"/>
    <w:basedOn w:val="Normal"/>
    <w:uiPriority w:val="49"/>
    <w:qFormat/>
    <w:rsid w:val="00021B02"/>
    <w:pPr>
      <w:numPr>
        <w:numId w:val="21"/>
      </w:numPr>
      <w:spacing w:before="125" w:after="125" w:line="250" w:lineRule="atLeast"/>
      <w:ind w:left="284" w:hanging="284"/>
      <w:contextualSpacing/>
      <w:jc w:val="both"/>
    </w:pPr>
    <w:rPr>
      <w:szCs w:val="24"/>
    </w:rPr>
  </w:style>
  <w:style w:type="paragraph" w:customStyle="1" w:styleId="Punktlistagemener">
    <w:name w:val="Punktlista gemener"/>
    <w:basedOn w:val="Normal"/>
    <w:uiPriority w:val="49"/>
    <w:qFormat/>
    <w:rsid w:val="00021B02"/>
    <w:pPr>
      <w:numPr>
        <w:numId w:val="22"/>
      </w:numPr>
      <w:tabs>
        <w:tab w:val="left" w:pos="567"/>
        <w:tab w:val="left" w:pos="850"/>
        <w:tab w:val="left" w:pos="1701"/>
        <w:tab w:val="left" w:pos="2551"/>
        <w:tab w:val="left" w:pos="3402"/>
        <w:tab w:val="center" w:pos="4252"/>
        <w:tab w:val="left" w:pos="5102"/>
        <w:tab w:val="right" w:pos="5839"/>
        <w:tab w:val="right" w:pos="7370"/>
      </w:tabs>
      <w:spacing w:before="125" w:after="125" w:line="250" w:lineRule="atLeast"/>
      <w:ind w:left="284" w:hanging="284"/>
      <w:contextualSpacing/>
      <w:jc w:val="both"/>
    </w:pPr>
    <w:rPr>
      <w:szCs w:val="24"/>
    </w:rPr>
  </w:style>
  <w:style w:type="paragraph" w:customStyle="1" w:styleId="Punktlistalinje">
    <w:name w:val="Punktlista linje"/>
    <w:basedOn w:val="Normal"/>
    <w:uiPriority w:val="49"/>
    <w:qFormat/>
    <w:rsid w:val="00021B02"/>
    <w:pPr>
      <w:numPr>
        <w:numId w:val="23"/>
      </w:numPr>
      <w:spacing w:before="125" w:after="125" w:line="250" w:lineRule="atLeast"/>
      <w:ind w:left="284" w:hanging="284"/>
      <w:contextualSpacing/>
      <w:jc w:val="both"/>
    </w:pPr>
    <w:rPr>
      <w:szCs w:val="24"/>
    </w:rPr>
  </w:style>
  <w:style w:type="paragraph" w:customStyle="1" w:styleId="PVgnar">
    <w:name w:val="PåVägnar"/>
    <w:basedOn w:val="Normal"/>
    <w:next w:val="Normal"/>
    <w:link w:val="PVgnarChar"/>
    <w:semiHidden/>
    <w:rsid w:val="00955EDF"/>
    <w:pPr>
      <w:tabs>
        <w:tab w:val="clear" w:pos="284"/>
      </w:tabs>
      <w:spacing w:before="62" w:after="520" w:line="240" w:lineRule="auto"/>
    </w:pPr>
    <w:rPr>
      <w:rFonts w:eastAsiaTheme="minorHAnsi"/>
      <w:sz w:val="19"/>
      <w:szCs w:val="19"/>
      <w:lang w:eastAsia="en-US"/>
    </w:rPr>
  </w:style>
  <w:style w:type="character" w:customStyle="1" w:styleId="PVgnarChar">
    <w:name w:val="PåVägnar Char"/>
    <w:basedOn w:val="Standardstycketeckensnitt"/>
    <w:link w:val="PVgnar"/>
    <w:semiHidden/>
    <w:rsid w:val="00955EDF"/>
    <w:rPr>
      <w:rFonts w:eastAsiaTheme="minorHAnsi"/>
      <w:sz w:val="19"/>
      <w:szCs w:val="19"/>
      <w:lang w:eastAsia="en-US"/>
    </w:rPr>
  </w:style>
  <w:style w:type="paragraph" w:customStyle="1" w:styleId="Punktlistasiffra">
    <w:name w:val="Punktlista siffra"/>
    <w:basedOn w:val="Normal"/>
    <w:uiPriority w:val="49"/>
    <w:qFormat/>
    <w:rsid w:val="00021B02"/>
    <w:pPr>
      <w:numPr>
        <w:numId w:val="24"/>
      </w:numPr>
      <w:spacing w:before="125" w:after="125" w:line="250" w:lineRule="atLeast"/>
      <w:ind w:left="284" w:hanging="284"/>
      <w:contextualSpacing/>
      <w:jc w:val="both"/>
    </w:pPr>
    <w:rPr>
      <w:szCs w:val="24"/>
    </w:rPr>
  </w:style>
  <w:style w:type="paragraph" w:styleId="Normaltindrag">
    <w:name w:val="Normal Indent"/>
    <w:basedOn w:val="Normal"/>
    <w:rsid w:val="004D759A"/>
    <w:pPr>
      <w:spacing w:after="0"/>
      <w:ind w:firstLine="227"/>
      <w:contextualSpacing/>
    </w:pPr>
  </w:style>
  <w:style w:type="paragraph" w:customStyle="1" w:styleId="Tabell-Kolumnrubrik">
    <w:name w:val="Tabell - Kolumnrubrik"/>
    <w:basedOn w:val="Normal"/>
    <w:uiPriority w:val="29"/>
    <w:unhideWhenUsed/>
    <w:qFormat/>
    <w:rsid w:val="001435F8"/>
    <w:pPr>
      <w:tabs>
        <w:tab w:val="clear" w:pos="284"/>
        <w:tab w:val="left" w:pos="567"/>
        <w:tab w:val="left" w:pos="850"/>
        <w:tab w:val="left" w:pos="1701"/>
        <w:tab w:val="left" w:pos="2551"/>
        <w:tab w:val="left" w:pos="3402"/>
        <w:tab w:val="center" w:pos="4252"/>
        <w:tab w:val="left" w:pos="5102"/>
        <w:tab w:val="right" w:pos="5839"/>
        <w:tab w:val="right" w:pos="7370"/>
      </w:tabs>
      <w:spacing w:after="0" w:line="240" w:lineRule="exact"/>
    </w:pPr>
    <w:rPr>
      <w:b/>
      <w:sz w:val="20"/>
      <w:szCs w:val="24"/>
      <w:lang w:eastAsia="en-US"/>
    </w:rPr>
  </w:style>
  <w:style w:type="paragraph" w:customStyle="1" w:styleId="Tabell-Klla">
    <w:name w:val="Tabell - Källa"/>
    <w:basedOn w:val="Normal"/>
    <w:next w:val="Normal"/>
    <w:unhideWhenUsed/>
    <w:qFormat/>
    <w:rsid w:val="00A635B7"/>
    <w:pPr>
      <w:tabs>
        <w:tab w:val="clear" w:pos="284"/>
      </w:tabs>
      <w:spacing w:before="120" w:after="0" w:line="160" w:lineRule="exact"/>
      <w:contextualSpacing/>
    </w:pPr>
    <w:rPr>
      <w:i/>
      <w:szCs w:val="24"/>
    </w:rPr>
  </w:style>
  <w:style w:type="paragraph" w:customStyle="1" w:styleId="Tabell-Radrubrik">
    <w:name w:val="Tabell - Radrubrik"/>
    <w:basedOn w:val="Normal"/>
    <w:unhideWhenUsed/>
    <w:qFormat/>
    <w:rsid w:val="001435F8"/>
    <w:pPr>
      <w:tabs>
        <w:tab w:val="clear" w:pos="284"/>
      </w:tabs>
      <w:spacing w:after="0" w:line="240" w:lineRule="exact"/>
    </w:pPr>
    <w:rPr>
      <w:sz w:val="20"/>
      <w:szCs w:val="24"/>
      <w:lang w:eastAsia="en-US"/>
    </w:rPr>
  </w:style>
  <w:style w:type="paragraph" w:customStyle="1" w:styleId="Tabell-Rubrik">
    <w:name w:val="Tabell - Rubrik"/>
    <w:basedOn w:val="Normal"/>
    <w:next w:val="Normal"/>
    <w:uiPriority w:val="29"/>
    <w:qFormat/>
    <w:rsid w:val="001435F8"/>
    <w:pPr>
      <w:keepNext/>
      <w:keepLines/>
      <w:tabs>
        <w:tab w:val="clear" w:pos="284"/>
      </w:tabs>
      <w:spacing w:before="240" w:after="60" w:line="200" w:lineRule="atLeast"/>
    </w:pPr>
    <w:rPr>
      <w:rFonts w:eastAsiaTheme="majorEastAsia" w:cstheme="majorBidi"/>
      <w:b/>
      <w:sz w:val="20"/>
      <w:szCs w:val="19"/>
      <w:lang w:eastAsia="en-US"/>
    </w:rPr>
  </w:style>
  <w:style w:type="paragraph" w:customStyle="1" w:styleId="Tabell-Siffror">
    <w:name w:val="Tabell - Siffror"/>
    <w:basedOn w:val="Normal"/>
    <w:uiPriority w:val="29"/>
    <w:unhideWhenUsed/>
    <w:rsid w:val="001435F8"/>
    <w:pPr>
      <w:tabs>
        <w:tab w:val="clear" w:pos="284"/>
      </w:tabs>
      <w:spacing w:after="0" w:line="240" w:lineRule="exact"/>
      <w:jc w:val="right"/>
    </w:pPr>
    <w:rPr>
      <w:sz w:val="20"/>
      <w:szCs w:val="24"/>
    </w:rPr>
  </w:style>
  <w:style w:type="paragraph" w:customStyle="1" w:styleId="Tabell-Text">
    <w:name w:val="Tabell - Text"/>
    <w:uiPriority w:val="29"/>
    <w:unhideWhenUsed/>
    <w:rsid w:val="001435F8"/>
    <w:pPr>
      <w:spacing w:line="240" w:lineRule="exact"/>
    </w:pPr>
    <w:rPr>
      <w:sz w:val="20"/>
      <w:szCs w:val="24"/>
    </w:rPr>
  </w:style>
  <w:style w:type="paragraph" w:customStyle="1" w:styleId="Tabell-Underrubrik">
    <w:name w:val="Tabell - Underrubrik"/>
    <w:basedOn w:val="Tabell-Rubrik"/>
    <w:next w:val="Tabell-Text"/>
    <w:uiPriority w:val="29"/>
    <w:unhideWhenUsed/>
    <w:qFormat/>
    <w:rsid w:val="001435F8"/>
    <w:pPr>
      <w:spacing w:before="0" w:after="20" w:line="160" w:lineRule="atLeast"/>
    </w:pPr>
    <w:rPr>
      <w:b w:val="0"/>
      <w:i/>
    </w:rPr>
  </w:style>
  <w:style w:type="paragraph" w:customStyle="1" w:styleId="Dnr">
    <w:name w:val="Dnr"/>
    <w:basedOn w:val="Normal"/>
    <w:qFormat/>
    <w:rsid w:val="00021B02"/>
    <w:pPr>
      <w:spacing w:after="0" w:line="240" w:lineRule="auto"/>
    </w:pPr>
  </w:style>
  <w:style w:type="paragraph" w:customStyle="1" w:styleId="Dokumentrubrik">
    <w:name w:val="Dokumentrubrik"/>
    <w:basedOn w:val="Rubrik1"/>
    <w:qFormat/>
    <w:rsid w:val="00EC51CA"/>
    <w:pPr>
      <w:spacing w:before="720" w:after="0"/>
      <w:contextualSpacing/>
      <w:outlineLvl w:val="9"/>
    </w:pPr>
    <w:rPr>
      <w:lang w:eastAsia="en-US"/>
    </w:rPr>
  </w:style>
  <w:style w:type="character" w:styleId="Platshllartext">
    <w:name w:val="Placeholder Text"/>
    <w:basedOn w:val="Standardstycketeckensnitt"/>
    <w:uiPriority w:val="99"/>
    <w:semiHidden/>
    <w:rsid w:val="0005184C"/>
    <w:rPr>
      <w:color w:val="808080"/>
    </w:rPr>
  </w:style>
  <w:style w:type="paragraph" w:styleId="Normalwebb">
    <w:name w:val="Normal (Web)"/>
    <w:basedOn w:val="Normal"/>
    <w:uiPriority w:val="99"/>
    <w:semiHidden/>
    <w:unhideWhenUsed/>
    <w:rsid w:val="008723DF"/>
    <w:pPr>
      <w:tabs>
        <w:tab w:val="clear" w:pos="284"/>
      </w:tabs>
      <w:spacing w:before="100" w:beforeAutospacing="1" w:after="100" w:afterAutospacing="1" w:line="240" w:lineRule="auto"/>
    </w:pPr>
    <w:rPr>
      <w:sz w:val="24"/>
      <w:szCs w:val="24"/>
    </w:rPr>
  </w:style>
  <w:style w:type="character" w:styleId="Olstomnmnande">
    <w:name w:val="Unresolved Mention"/>
    <w:basedOn w:val="Standardstycketeckensnitt"/>
    <w:uiPriority w:val="99"/>
    <w:semiHidden/>
    <w:unhideWhenUsed/>
    <w:rsid w:val="00BC72E1"/>
    <w:rPr>
      <w:color w:val="605E5C"/>
      <w:shd w:val="clear" w:color="auto" w:fill="E1DFDD"/>
    </w:rPr>
  </w:style>
  <w:style w:type="character" w:styleId="Kommentarsreferens">
    <w:name w:val="annotation reference"/>
    <w:basedOn w:val="Standardstycketeckensnitt"/>
    <w:semiHidden/>
    <w:rsid w:val="001A76E8"/>
    <w:rPr>
      <w:sz w:val="16"/>
      <w:szCs w:val="16"/>
    </w:rPr>
  </w:style>
  <w:style w:type="paragraph" w:styleId="Kommentarer">
    <w:name w:val="annotation text"/>
    <w:basedOn w:val="Normal"/>
    <w:link w:val="KommentarerChar"/>
    <w:semiHidden/>
    <w:rsid w:val="001A76E8"/>
    <w:pPr>
      <w:spacing w:line="240" w:lineRule="auto"/>
    </w:pPr>
    <w:rPr>
      <w:sz w:val="20"/>
      <w:szCs w:val="20"/>
    </w:rPr>
  </w:style>
  <w:style w:type="character" w:customStyle="1" w:styleId="KommentarerChar">
    <w:name w:val="Kommentarer Char"/>
    <w:basedOn w:val="Standardstycketeckensnitt"/>
    <w:link w:val="Kommentarer"/>
    <w:semiHidden/>
    <w:rsid w:val="001A76E8"/>
    <w:rPr>
      <w:sz w:val="20"/>
      <w:szCs w:val="20"/>
    </w:rPr>
  </w:style>
  <w:style w:type="paragraph" w:styleId="Kommentarsmne">
    <w:name w:val="annotation subject"/>
    <w:basedOn w:val="Kommentarer"/>
    <w:next w:val="Kommentarer"/>
    <w:link w:val="KommentarsmneChar"/>
    <w:semiHidden/>
    <w:unhideWhenUsed/>
    <w:rsid w:val="001A76E8"/>
    <w:rPr>
      <w:b/>
      <w:bCs/>
    </w:rPr>
  </w:style>
  <w:style w:type="character" w:customStyle="1" w:styleId="KommentarsmneChar">
    <w:name w:val="Kommentarsämne Char"/>
    <w:basedOn w:val="KommentarerChar"/>
    <w:link w:val="Kommentarsmne"/>
    <w:semiHidden/>
    <w:rsid w:val="001A76E8"/>
    <w:rPr>
      <w:b/>
      <w:bCs/>
      <w:sz w:val="20"/>
      <w:szCs w:val="20"/>
    </w:rPr>
  </w:style>
  <w:style w:type="character" w:styleId="AnvndHyperlnk">
    <w:name w:val="FollowedHyperlink"/>
    <w:basedOn w:val="Standardstycketeckensnitt"/>
    <w:semiHidden/>
    <w:rsid w:val="00BC293F"/>
    <w:rPr>
      <w:color w:val="954F72" w:themeColor="followedHyperlink"/>
      <w:u w:val="single"/>
    </w:rPr>
  </w:style>
  <w:style w:type="character" w:styleId="Stark">
    <w:name w:val="Strong"/>
    <w:basedOn w:val="Standardstycketeckensnitt"/>
    <w:uiPriority w:val="22"/>
    <w:qFormat/>
    <w:rsid w:val="00BC26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751925">
      <w:bodyDiv w:val="1"/>
      <w:marLeft w:val="0"/>
      <w:marRight w:val="0"/>
      <w:marTop w:val="0"/>
      <w:marBottom w:val="0"/>
      <w:divBdr>
        <w:top w:val="none" w:sz="0" w:space="0" w:color="auto"/>
        <w:left w:val="none" w:sz="0" w:space="0" w:color="auto"/>
        <w:bottom w:val="none" w:sz="0" w:space="0" w:color="auto"/>
        <w:right w:val="none" w:sz="0" w:space="0" w:color="auto"/>
      </w:divBdr>
    </w:div>
    <w:div w:id="422918695">
      <w:bodyDiv w:val="1"/>
      <w:marLeft w:val="0"/>
      <w:marRight w:val="0"/>
      <w:marTop w:val="0"/>
      <w:marBottom w:val="0"/>
      <w:divBdr>
        <w:top w:val="none" w:sz="0" w:space="0" w:color="auto"/>
        <w:left w:val="none" w:sz="0" w:space="0" w:color="auto"/>
        <w:bottom w:val="none" w:sz="0" w:space="0" w:color="auto"/>
        <w:right w:val="none" w:sz="0" w:space="0" w:color="auto"/>
      </w:divBdr>
    </w:div>
    <w:div w:id="1189559356">
      <w:bodyDiv w:val="1"/>
      <w:marLeft w:val="0"/>
      <w:marRight w:val="0"/>
      <w:marTop w:val="0"/>
      <w:marBottom w:val="0"/>
      <w:divBdr>
        <w:top w:val="none" w:sz="0" w:space="0" w:color="auto"/>
        <w:left w:val="none" w:sz="0" w:space="0" w:color="auto"/>
        <w:bottom w:val="none" w:sz="0" w:space="0" w:color="auto"/>
        <w:right w:val="none" w:sz="0" w:space="0" w:color="auto"/>
      </w:divBdr>
    </w:div>
    <w:div w:id="1213883107">
      <w:bodyDiv w:val="1"/>
      <w:marLeft w:val="0"/>
      <w:marRight w:val="0"/>
      <w:marTop w:val="0"/>
      <w:marBottom w:val="0"/>
      <w:divBdr>
        <w:top w:val="none" w:sz="0" w:space="0" w:color="auto"/>
        <w:left w:val="none" w:sz="0" w:space="0" w:color="auto"/>
        <w:bottom w:val="none" w:sz="0" w:space="0" w:color="auto"/>
        <w:right w:val="none" w:sz="0" w:space="0" w:color="auto"/>
      </w:divBdr>
    </w:div>
    <w:div w:id="1718814788">
      <w:bodyDiv w:val="1"/>
      <w:marLeft w:val="0"/>
      <w:marRight w:val="0"/>
      <w:marTop w:val="0"/>
      <w:marBottom w:val="0"/>
      <w:divBdr>
        <w:top w:val="none" w:sz="0" w:space="0" w:color="auto"/>
        <w:left w:val="none" w:sz="0" w:space="0" w:color="auto"/>
        <w:bottom w:val="none" w:sz="0" w:space="0" w:color="auto"/>
        <w:right w:val="none" w:sz="0" w:space="0" w:color="auto"/>
      </w:divBdr>
    </w:div>
    <w:div w:id="172046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vk.se/aktorsportalen/bidra-med-reserver/behov-av-reserver-nu-och-i-framtiden/framtida-volymbehov/?_t_id=g6dKGGXhaFauXEzfb-8jGA%3d%3d&amp;_t_uuid=X58QmObRSny0oIvTp2_snw&amp;_t_q=+Area+Control+Error+(ACE)&amp;_t_tags=siteid%3a40c776fe-7e5c-4838-841c-63d91e5a03c9%2clanguage%3asv%2candquerymatch&amp;_t_hit.id=SVK_WebUI_Models_Pages_GeneralPage/_7ed709d0-81c7-495f-8bcb-aaa86cb0abd7_sv&amp;_t_hit.pos=1"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svk.se/om-kraftsystemet/om-systemansvaret/kraftsystemstabilit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vk.se/aktorsportalen/bidra-med-reserve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vk.se/aktorsportalen/bidra-med-reserver/" TargetMode="External"/><Relationship Id="rId2" Type="http://schemas.openxmlformats.org/officeDocument/2006/relationships/hyperlink" Target="https://www.svk.se/aktorsportalen/bidra-med-reserver/behov-av-reserver-nu-och-i-framtiden/framtida-volymbehov/?_t_id=g6dKGGXhaFauXEzfb-8jGA%3d%3d&amp;_t_uuid=X58QmObRSny0oIvTp2_snw&amp;_t_q=+Area+Control+Error+(ACE)&amp;_t_tags=siteid%3a40c776fe-7e5c-4838-841c-63d91e5a03c9%2clanguage%3asv%2candquerymatch&amp;_t_hit.id=SVK_WebUI_Models_Pages_GeneralPage/_7ed709d0-81c7-495f-8bcb-aaa86cb0abd7_sv&amp;_t_hit.pos=1" TargetMode="External"/><Relationship Id="rId1" Type="http://schemas.openxmlformats.org/officeDocument/2006/relationships/hyperlink" Target="https://www.svk.se/aktorsportalen/bidra-med-reserver/behov-av-reserver-nu-och-i-framtiden/framtidsrapport-om-balansmarknaderna/" TargetMode="External"/><Relationship Id="rId5" Type="http://schemas.openxmlformats.org/officeDocument/2006/relationships/hyperlink" Target="https://www.svk.se/om-kraftsystemet/om-systemansvaret/kraftsystemstabilitet/" TargetMode="External"/><Relationship Id="rId4" Type="http://schemas.openxmlformats.org/officeDocument/2006/relationships/hyperlink" Target="https://www.regeringen.se/contentassets/e52425dba1934accb2e893f05ac82561/en-kapacitetsmekanism-for-elmarknaden-prop.-20242548.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dotm"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C9BB0E37024E1494932BB225AFEF03"/>
        <w:category>
          <w:name w:val="Allmänt"/>
          <w:gallery w:val="placeholder"/>
        </w:category>
        <w:types>
          <w:type w:val="bbPlcHdr"/>
        </w:types>
        <w:behaviors>
          <w:behavior w:val="content"/>
        </w:behaviors>
        <w:guid w:val="{33039459-DB64-40BD-AA5E-F33C18727E0B}"/>
      </w:docPartPr>
      <w:docPartBody>
        <w:p w:rsidR="000059DF" w:rsidRDefault="000059DF">
          <w:pPr>
            <w:pStyle w:val="EEC9BB0E37024E1494932BB225AFEF03"/>
          </w:pPr>
          <w:r w:rsidRPr="005D638F">
            <w:rPr>
              <w:rStyle w:val="Platshllartext"/>
            </w:rPr>
            <w:t>Klicka här för att ange text.</w:t>
          </w:r>
        </w:p>
      </w:docPartBody>
    </w:docPart>
    <w:docPart>
      <w:docPartPr>
        <w:name w:val="215AC802CD9D41CF8A9E903DB3117F0A"/>
        <w:category>
          <w:name w:val="Allmänt"/>
          <w:gallery w:val="placeholder"/>
        </w:category>
        <w:types>
          <w:type w:val="bbPlcHdr"/>
        </w:types>
        <w:behaviors>
          <w:behavior w:val="content"/>
        </w:behaviors>
        <w:guid w:val="{6D265AF9-6FA5-4FD6-B225-79261FF2CB32}"/>
      </w:docPartPr>
      <w:docPartBody>
        <w:p w:rsidR="000059DF" w:rsidRDefault="000059DF">
          <w:pPr>
            <w:pStyle w:val="215AC802CD9D41CF8A9E903DB3117F0A"/>
          </w:pPr>
          <w:r w:rsidRPr="006F4C42">
            <w:rPr>
              <w:rStyle w:val="Platshllartext"/>
            </w:rPr>
            <w:t>[Dnr]</w:t>
          </w:r>
        </w:p>
      </w:docPartBody>
    </w:docPart>
    <w:docPart>
      <w:docPartPr>
        <w:name w:val="495BC025C4724D5C953DF3C9BCC3A2B8"/>
        <w:category>
          <w:name w:val="Allmänt"/>
          <w:gallery w:val="placeholder"/>
        </w:category>
        <w:types>
          <w:type w:val="bbPlcHdr"/>
        </w:types>
        <w:behaviors>
          <w:behavior w:val="content"/>
        </w:behaviors>
        <w:guid w:val="{40C92159-563F-40F8-B5B5-0E05A9249FD7}"/>
      </w:docPartPr>
      <w:docPartBody>
        <w:p w:rsidR="000059DF" w:rsidRDefault="000059DF"/>
      </w:docPartBody>
    </w:docPart>
    <w:docPart>
      <w:docPartPr>
        <w:name w:val="4034CCC83FF0493C924C86546349F133"/>
        <w:category>
          <w:name w:val="Allmänt"/>
          <w:gallery w:val="placeholder"/>
        </w:category>
        <w:types>
          <w:type w:val="bbPlcHdr"/>
        </w:types>
        <w:behaviors>
          <w:behavior w:val="content"/>
        </w:behaviors>
        <w:guid w:val="{D02CC4E5-D6F2-4256-ADD6-ED9EB5A3E632}"/>
      </w:docPartPr>
      <w:docPartBody>
        <w:p w:rsidR="00C92E28" w:rsidRDefault="00C92E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9DF"/>
    <w:rsid w:val="000059DF"/>
    <w:rsid w:val="00BA5F59"/>
    <w:rsid w:val="00C92E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EC9BB0E37024E1494932BB225AFEF03">
    <w:name w:val="EEC9BB0E37024E1494932BB225AFEF03"/>
  </w:style>
  <w:style w:type="paragraph" w:customStyle="1" w:styleId="215AC802CD9D41CF8A9E903DB3117F0A">
    <w:name w:val="215AC802CD9D41CF8A9E903DB3117F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DF_Rubin_Dnr xmlns="ae7fe8aa-be4b-442d-9e5c-5fffa8527b40">2025:90</RDF_Rubin_Dnr>
    <RDF_Rubin_RutKontaktInfo xmlns="ae7fe8aa-be4b-442d-9e5c-5fffa8527b40">Sektionen ekonomisk analys • Utredningstjänsten • Tel. 08-786 40 00 • E-post rut@riksdagen.se</RDF_Rubin_RutKontaktInfo>
    <RDF_Rubin_Rubrik xmlns="ae7fe8aa-be4b-442d-9e5c-5fffa8527b40">Balanstjänster</RDF_Rubin_Rubrik>
    <RDF_Rubin_Kategori xmlns="ae7fe8aa-be4b-442d-9e5c-5fffa8527b40">Rapportfiler för leverans (endast Rubin och Rubin arkiv)</RDF_Rubin_Kategori>
    <RDF_Rubin_SkickatTillSlutlasare xmlns="ae7fe8aa-be4b-442d-9e5c-5fffa8527b40">false</RDF_Rubin_SkickatTillSlutlasare>
    <RDF_Rubin_SlutlastDatum xmlns="ae7fe8aa-be4b-442d-9e5c-5fffa8527b40">2025-02-27T16:11:39+00:00</RDF_Rubin_SlutlastDatum>
    <RDF_Rubin_Slutlasare xmlns="ae7fe8aa-be4b-442d-9e5c-5fffa8527b40">
      <UserInfo>
        <DisplayName>Olof Eddesten</DisplayName>
        <AccountId>25</AccountId>
        <AccountType/>
      </UserInfo>
    </RDF_Rubin_Slutlasare>
    <RDF_Rubin_exkluderaFranArkivering xmlns="ae7fe8aa-be4b-442d-9e5c-5fffa8527b40">false</RDF_Rubin_exkluderaFranArkivering>
    <RDF_Rubin_UppdragsbeskrivningText xmlns="ae7fe8aa-be4b-442d-9e5c-5fffa8527b40">I samhällsdebatten kring kostnaderna för olika energislag dyker påståenden upp om att Svenska Kraftnät (o/e eventuellt andra myndigheter) emellanåt betalar vissa kraftproducenter för att stoppa elproduktionen när vindkraft eller solenergi levererar som mest. Detta eftersom inte nätet kan ta emot obegränsat med el. Det sägs att både vattenkraftproducenter och kärnkraftproducenter fått sådana ersättningar genom åren, och det påstås finnas styrkta uppgifter om detta i kraftproducenternas egna årsredovisningar. 
För att ha bra underlag för fortsatta diskussioner skulle jag vilja veta om denna typ av stöd förekommer, samt vilka summor det i så fall handlar om som betalas ut. Lämpligen redovisat per kalenderår, kraftslag och mottagare om det är möjligt.  
Uppdraget omformulerat till:
Uppdraget handlar om hur stora kostnader Svenska kraftnät har för de balanstjänster som man har inrättat för att säkerställa balansen i elsystemet. Uppgifterna önskas per kraftslag. Även en beskrivning av denna marknad önskas. 
</RDF_Rubin_UppdragsbeskrivningText>
    <RDF_Rubin_exkluderaFranSlutArkivering xmlns="ae7fe8aa-be4b-442d-9e5c-5fffa8527b40">true</RDF_Rubin_exkluderaFranSlutArkivering>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ppdragsdokument" ma:contentTypeID="0x010100225408BF33027F4A8C8C8E4571A4756E00D4021F981C56AB4C86EB5FFBD5EF7145" ma:contentTypeVersion="19" ma:contentTypeDescription="Skapa ett nytt dokument." ma:contentTypeScope="" ma:versionID="bf068f51bae7c48b91f7048f8df2c35c">
  <xsd:schema xmlns:xsd="http://www.w3.org/2001/XMLSchema" xmlns:xs="http://www.w3.org/2001/XMLSchema" xmlns:p="http://schemas.microsoft.com/office/2006/metadata/properties" xmlns:ns2="ae7fe8aa-be4b-442d-9e5c-5fffa8527b40" targetNamespace="http://schemas.microsoft.com/office/2006/metadata/properties" ma:root="true" ma:fieldsID="8cf8558cae8b0bfc423358d6e4e26f16" ns2:_="">
    <xsd:import namespace="ae7fe8aa-be4b-442d-9e5c-5fffa8527b40"/>
    <xsd:element name="properties">
      <xsd:complexType>
        <xsd:sequence>
          <xsd:element name="documentManagement">
            <xsd:complexType>
              <xsd:all>
                <xsd:element ref="ns2:RDF_Rubin_RutKontaktInfo" minOccurs="0"/>
                <xsd:element ref="ns2:RDF_Rubin_Rubrik" minOccurs="0"/>
                <xsd:element ref="ns2:RDF_Rubin_Dnr" minOccurs="0"/>
                <xsd:element ref="ns2:RDF_Rubin_Kategori" minOccurs="0"/>
                <xsd:element ref="ns2:RDF_Rubin_Slutlasare" minOccurs="0"/>
                <xsd:element ref="ns2:RDF_Rubin_SkickatTillSlutlasare" minOccurs="0"/>
                <xsd:element ref="ns2:RDF_Rubin_SlutlastDatum" minOccurs="0"/>
                <xsd:element ref="ns2:RDF_Rubin_exkluderaFranArkivering" minOccurs="0"/>
                <xsd:element ref="ns2:RDF_Rubin_UppdragsbeskrivningText" minOccurs="0"/>
                <xsd:element ref="ns2:SharedWithUsers" minOccurs="0"/>
                <xsd:element ref="ns2:SharedWithDetails" minOccurs="0"/>
                <xsd:element ref="ns2:RDF_Rubin_exkluderaFranSlutArkive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fe8aa-be4b-442d-9e5c-5fffa8527b40" elementFormDefault="qualified">
    <xsd:import namespace="http://schemas.microsoft.com/office/2006/documentManagement/types"/>
    <xsd:import namespace="http://schemas.microsoft.com/office/infopath/2007/PartnerControls"/>
    <xsd:element name="RDF_Rubin_RutKontaktInfo" ma:index="8" nillable="true" ma:displayName="RUT Kontaktuppgifter" ma:description="" ma:internalName="RDF_Rubin_RutKontaktInfo">
      <xsd:simpleType>
        <xsd:restriction base="dms:Text"/>
      </xsd:simpleType>
    </xsd:element>
    <xsd:element name="RDF_Rubin_Rubrik" ma:index="9" nillable="true" ma:displayName="Rubrik" ma:description="" ma:internalName="RDF_Rubin_Rubrik">
      <xsd:simpleType>
        <xsd:restriction base="dms:Text"/>
      </xsd:simpleType>
    </xsd:element>
    <xsd:element name="RDF_Rubin_Dnr" ma:index="10" nillable="true" ma:displayName="Dnr" ma:description="" ma:indexed="true" ma:internalName="RDF_Rubin_Dnr">
      <xsd:simpleType>
        <xsd:restriction base="dms:Text"/>
      </xsd:simpleType>
    </xsd:element>
    <xsd:element name="RDF_Rubin_Kategori" ma:index="11" nillable="true" ma:displayName="Kategori" ma:default="Arbetsmaterial" ma:description="" ma:format="Dropdown" ma:internalName="RDF_Rubin_Kategori">
      <xsd:simpleType>
        <xsd:restriction base="dms:Choice">
          <xsd:enumeration value="Inkommet (för arkivering)"/>
          <xsd:enumeration value="Tillfälligt arbetsmaterial (endast i Rubin)"/>
          <xsd:enumeration value="Upprättat inom RUT/RDF (för arkivering)"/>
          <xsd:enumeration value="Dialog med uppdragsgivaren (för arkivering)"/>
          <xsd:enumeration value="Rapportfiler för leverans (endast Rubin och Rubin arkiv)"/>
          <xsd:enumeration value="Internrapportfiler för leverans (endast Rubin och Rubin arkiv)"/>
          <xsd:enumeration value="Bilagor för leverans (endast Rubin och Rubin arkiv)"/>
        </xsd:restriction>
      </xsd:simpleType>
    </xsd:element>
    <xsd:element name="RDF_Rubin_Slutlasare" ma:index="12" nillable="true" ma:displayName="Slutläsare" ma:description="" ma:internalName="RDF_Rubin_Slutlasa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F_Rubin_SkickatTillSlutlasare" ma:index="13" nillable="true" ma:displayName="Skickat till slutläsare" ma:default="0" ma:description="" ma:internalName="RDF_Rubin_SkickatTillSlutlasare">
      <xsd:simpleType>
        <xsd:restriction base="dms:Boolean"/>
      </xsd:simpleType>
    </xsd:element>
    <xsd:element name="RDF_Rubin_SlutlastDatum" ma:index="14" nillable="true" ma:displayName="Slutläst" ma:description="" ma:format="DateOnly" ma:internalName="RDF_Rubin_SlutlastDatum">
      <xsd:simpleType>
        <xsd:restriction base="dms:DateTime"/>
      </xsd:simpleType>
    </xsd:element>
    <xsd:element name="RDF_Rubin_exkluderaFranArkivering" ma:index="15" nillable="true" ma:displayName="Exkludera från arkiv" ma:default="0" ma:description="" ma:internalName="RDF_Rubin_exkluderaFranArkivering">
      <xsd:simpleType>
        <xsd:restriction base="dms:Boolean"/>
      </xsd:simpleType>
    </xsd:element>
    <xsd:element name="RDF_Rubin_UppdragsbeskrivningText" ma:index="16" nillable="true" ma:displayName="Uppdragsbeskrivning" ma:description="" ma:internalName="RDF_Rubin_UppdragsbeskrivningText">
      <xsd:simpleType>
        <xsd:restriction base="dms:Note"/>
      </xsd:simpleType>
    </xsd:element>
    <xsd:element name="SharedWithUsers" ma:index="1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RDF_Rubin_exkluderaFranSlutArkivering" ma:index="21" nillable="true" ma:displayName="Exkludera från slutarkiv" ma:default="False" ma:description="" ma:internalName="RDF_Rubin_exkluderaFranSlutArkiverin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EC7C8-69FA-43C4-98C5-99BE863819E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e7fe8aa-be4b-442d-9e5c-5fffa8527b40"/>
    <ds:schemaRef ds:uri="http://www.w3.org/XML/1998/namespace"/>
    <ds:schemaRef ds:uri="http://purl.org/dc/dcmitype/"/>
  </ds:schemaRefs>
</ds:datastoreItem>
</file>

<file path=customXml/itemProps2.xml><?xml version="1.0" encoding="utf-8"?>
<ds:datastoreItem xmlns:ds="http://schemas.openxmlformats.org/officeDocument/2006/customXml" ds:itemID="{35400B67-0F7B-4B28-9A80-3C529CE52B36}">
  <ds:schemaRefs>
    <ds:schemaRef ds:uri="http://schemas.microsoft.com/sharepoint/v3/contenttype/forms"/>
  </ds:schemaRefs>
</ds:datastoreItem>
</file>

<file path=customXml/itemProps3.xml><?xml version="1.0" encoding="utf-8"?>
<ds:datastoreItem xmlns:ds="http://schemas.openxmlformats.org/officeDocument/2006/customXml" ds:itemID="{C571EA73-52F0-42D9-B7BC-3E3B36285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7fe8aa-be4b-442d-9e5c-5fffa8527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CBF8A2-4395-4613-835E-D57438751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7</Pages>
  <Words>1482</Words>
  <Characters>10891</Characters>
  <Application>Microsoft Office Word</Application>
  <DocSecurity>0</DocSecurity>
  <Lines>265</Lines>
  <Paragraphs>140</Paragraphs>
  <ScaleCrop>false</ScaleCrop>
  <HeadingPairs>
    <vt:vector size="2" baseType="variant">
      <vt:variant>
        <vt:lpstr>Rubrik</vt:lpstr>
      </vt:variant>
      <vt:variant>
        <vt:i4>1</vt:i4>
      </vt:variant>
    </vt:vector>
  </HeadingPairs>
  <TitlesOfParts>
    <vt:vector size="1" baseType="lpstr">
      <vt:lpstr>2025_90 - Rapport.docx</vt:lpstr>
    </vt:vector>
  </TitlesOfParts>
  <Manager/>
  <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2025_90 - Rapport.docx</dc:title>
  <dc:subject/>
  <dc:creator/>
  <cp:keywords/>
  <dc:description>(RUT-anpassning av PM.dot)</dc:description>
  <cp:lastModifiedBy/>
  <cp:revision>1</cp:revision>
  <cp:lastPrinted>2016-09-09T12:32:00Z</cp:lastPrinted>
  <dcterms:created xsi:type="dcterms:W3CDTF">2016-11-02T08:16:00Z</dcterms:created>
  <dcterms:modified xsi:type="dcterms:W3CDTF">2025-02-27T16:09:00Z</dcterms:modified>
  <cp:version>2016-10-24</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stRubrik">
    <vt:lpwstr>Rapport från utredningstjänsten</vt:lpwstr>
  </property>
  <property fmtid="{D5CDD505-2E9C-101B-9397-08002B2CF9AE}" pid="3" name="ContentTypeId">
    <vt:lpwstr>0x010100225408BF33027F4A8C8C8E4571A4756E00D4021F981C56AB4C86EB5FFBD5EF7145</vt:lpwstr>
  </property>
  <property fmtid="{D5CDD505-2E9C-101B-9397-08002B2CF9AE}" pid="4" name="Sprak">
    <vt:lpwstr>Svenska</vt:lpwstr>
  </property>
  <property fmtid="{D5CDD505-2E9C-101B-9397-08002B2CF9AE}" pid="5" name="DocVersion">
    <vt:lpwstr>2016-10-26</vt:lpwstr>
  </property>
  <property fmtid="{D5CDD505-2E9C-101B-9397-08002B2CF9AE}" pid="6" name="_docset_NoMedatataSyncRequired">
    <vt:lpwstr>False</vt:lpwstr>
  </property>
</Properties>
</file>