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Layout w:type="fixed"/>
        <w:tblCellMar>
          <w:left w:w="0" w:type="dxa"/>
          <w:right w:w="0" w:type="dxa"/>
        </w:tblCellMar>
        <w:tblLook w:val="01E0" w:firstRow="1" w:lastRow="1" w:firstColumn="1" w:lastColumn="1" w:noHBand="0" w:noVBand="0"/>
      </w:tblPr>
      <w:tblGrid>
        <w:gridCol w:w="4536"/>
        <w:gridCol w:w="2694"/>
        <w:gridCol w:w="2694"/>
      </w:tblGrid>
      <w:tr w:rsidR="00F46CF3" w:rsidRPr="00740191" w14:paraId="5D3B7FB5" w14:textId="77777777" w:rsidTr="00162DBF">
        <w:trPr>
          <w:trHeight w:hRule="exact" w:val="369"/>
        </w:trPr>
        <w:sdt>
          <w:sdtPr>
            <w:alias w:val="Datum"/>
            <w:tag w:val="ccDatum"/>
            <w:id w:val="1138844323"/>
            <w:lock w:val="sdtLocked"/>
            <w:placeholder>
              <w:docPart w:val="E23BDD49731B4E479DC1571ABBC243C1"/>
            </w:placeholder>
          </w:sdtPr>
          <w:sdtEndPr/>
          <w:sdtContent>
            <w:tc>
              <w:tcPr>
                <w:tcW w:w="4536" w:type="dxa"/>
              </w:tcPr>
              <w:p w14:paraId="44DE6FFB" w14:textId="66E54FEA" w:rsidR="00F46CF3" w:rsidRPr="00740191" w:rsidRDefault="00740191" w:rsidP="0061501B">
                <w:r>
                  <w:t>2020-09-</w:t>
                </w:r>
                <w:r w:rsidR="00CB7C66">
                  <w:t>30</w:t>
                </w:r>
              </w:p>
            </w:tc>
          </w:sdtContent>
        </w:sdt>
        <w:tc>
          <w:tcPr>
            <w:tcW w:w="2694" w:type="dxa"/>
          </w:tcPr>
          <w:p w14:paraId="247ABEEF" w14:textId="77777777" w:rsidR="00F46CF3" w:rsidRPr="00740191" w:rsidRDefault="00F46CF3" w:rsidP="00B96F7E">
            <w:pPr>
              <w:jc w:val="right"/>
            </w:pPr>
            <w:r w:rsidRPr="00740191">
              <w:t xml:space="preserve">  </w:t>
            </w:r>
          </w:p>
        </w:tc>
        <w:tc>
          <w:tcPr>
            <w:tcW w:w="2694" w:type="dxa"/>
            <w:vMerge w:val="restart"/>
          </w:tcPr>
          <w:p w14:paraId="13FBACFF" w14:textId="16AEB2CF" w:rsidR="00F46CF3" w:rsidRPr="00740191" w:rsidRDefault="00A92912" w:rsidP="00FA6AF2">
            <w:pPr>
              <w:pStyle w:val="Dnr"/>
            </w:pPr>
            <w:sdt>
              <w:sdtPr>
                <w:alias w:val="DnrLedtext"/>
                <w:tag w:val="cc_DnrLedtext"/>
                <w:id w:val="-642587445"/>
                <w:lock w:val="sdtContentLocked"/>
                <w:placeholder>
                  <w:docPart w:val="EEC9BB0E37024E1494932BB225AFEF03"/>
                </w:placeholder>
              </w:sdtPr>
              <w:sdtEndPr/>
              <w:sdtContent>
                <w:r w:rsidR="00740191">
                  <w:t xml:space="preserve">Dnr </w:t>
                </w:r>
              </w:sdtContent>
            </w:sdt>
            <w:sdt>
              <w:sdtPr>
                <w:alias w:val="Dnr"/>
                <w:tag w:val="RDF_Rubin_Dnr"/>
                <w:id w:val="-2134544162"/>
                <w:lock w:val="sdtContentLocked"/>
                <w:placeholder>
                  <w:docPart w:val="215AC802CD9D41CF8A9E903DB3117F0A"/>
                </w:placeholder>
                <w:dataBinding w:xpath="/ns0:properties[1]/documentManagement[1]/ns3:RDF_Rubin_Dnr[1]" w:storeItemID="{372EC7C8-69FA-43C4-98C5-99BE863819E2}"/>
                <w:text/>
              </w:sdtPr>
              <w:sdtEndPr/>
              <w:sdtContent>
                <w:r w:rsidR="00740191" w:rsidRPr="00740191">
                  <w:t>2020:1205</w:t>
                </w:r>
              </w:sdtContent>
            </w:sdt>
          </w:p>
          <w:p w14:paraId="392861C4" w14:textId="77777777" w:rsidR="00D018A9" w:rsidRPr="00740191" w:rsidRDefault="00D018A9" w:rsidP="001E6421">
            <w:pPr>
              <w:pStyle w:val="Dnr"/>
            </w:pPr>
          </w:p>
        </w:tc>
      </w:tr>
      <w:tr w:rsidR="00B81800" w:rsidRPr="00740191" w14:paraId="15148BFA" w14:textId="77777777" w:rsidTr="00872180">
        <w:trPr>
          <w:trHeight w:hRule="exact" w:val="1134"/>
        </w:trPr>
        <w:tc>
          <w:tcPr>
            <w:tcW w:w="7230" w:type="dxa"/>
            <w:gridSpan w:val="2"/>
          </w:tcPr>
          <w:p w14:paraId="4E9F24FC" w14:textId="0D3180EE" w:rsidR="00B81800" w:rsidRPr="00740191" w:rsidRDefault="00A92912" w:rsidP="004F72CD">
            <w:pPr>
              <w:pStyle w:val="Dokumentrubrik"/>
            </w:pPr>
            <w:sdt>
              <w:sdtPr>
                <w:tag w:val="cc_RapportRut"/>
                <w:id w:val="-1217427827"/>
                <w:lock w:val="sdtLocked"/>
                <w:placeholder>
                  <w:docPart w:val="495BC025C4724D5C953DF3C9BCC3A2B8"/>
                </w:placeholder>
                <w:text/>
              </w:sdtPr>
              <w:sdtEndPr/>
              <w:sdtContent>
                <w:r w:rsidR="00740191">
                  <w:t>Rapport från utredningstjänsten</w:t>
                </w:r>
              </w:sdtContent>
            </w:sdt>
          </w:p>
        </w:tc>
        <w:tc>
          <w:tcPr>
            <w:tcW w:w="2694" w:type="dxa"/>
            <w:vMerge/>
          </w:tcPr>
          <w:p w14:paraId="4A5AB668" w14:textId="77777777" w:rsidR="00B81800" w:rsidRPr="00740191" w:rsidRDefault="00B81800" w:rsidP="00964A93"/>
        </w:tc>
      </w:tr>
      <w:tr w:rsidR="00F46CF3" w:rsidRPr="00740191" w14:paraId="33B6533F" w14:textId="77777777" w:rsidTr="00F0280B">
        <w:trPr>
          <w:trHeight w:val="567"/>
        </w:trPr>
        <w:tc>
          <w:tcPr>
            <w:tcW w:w="7230" w:type="dxa"/>
            <w:gridSpan w:val="2"/>
            <w:vAlign w:val="bottom"/>
          </w:tcPr>
          <w:p w14:paraId="504AA147" w14:textId="1B2AC42D" w:rsidR="00F27A32" w:rsidRPr="00740191" w:rsidRDefault="00740191" w:rsidP="00AD182C">
            <w:pPr>
              <w:pStyle w:val="FormatmallPMrubrik14pt"/>
            </w:pPr>
            <w:r w:rsidRPr="00740191">
              <w:t xml:space="preserve">Sveriges </w:t>
            </w:r>
            <w:r w:rsidR="006E468D">
              <w:t>STÖD TILL FN</w:t>
            </w:r>
          </w:p>
        </w:tc>
        <w:tc>
          <w:tcPr>
            <w:tcW w:w="2694" w:type="dxa"/>
            <w:vMerge/>
            <w:tcMar>
              <w:top w:w="113" w:type="dxa"/>
            </w:tcMar>
          </w:tcPr>
          <w:p w14:paraId="5A1A081E" w14:textId="77777777" w:rsidR="00F46CF3" w:rsidRPr="00740191" w:rsidRDefault="00F46CF3" w:rsidP="00162DBF"/>
        </w:tc>
      </w:tr>
    </w:tbl>
    <w:p w14:paraId="3DD23DE6" w14:textId="77777777" w:rsidR="00246ACC" w:rsidRDefault="00C16BFB" w:rsidP="006B5EA5">
      <w:pPr>
        <w:rPr>
          <w:i/>
        </w:rPr>
      </w:pPr>
      <w:r>
        <w:rPr>
          <w:i/>
        </w:rPr>
        <w:t xml:space="preserve">Uppdragsgivaren </w:t>
      </w:r>
      <w:r w:rsidR="009A1C14">
        <w:rPr>
          <w:i/>
        </w:rPr>
        <w:t>har efterfrågat en sammanställning över Sveriges totala kostnader för medlemskapet i FN samt det stöd som ges till olika FN-organ och</w:t>
      </w:r>
      <w:r w:rsidR="006B5EA5">
        <w:rPr>
          <w:i/>
        </w:rPr>
        <w:t xml:space="preserve"> </w:t>
      </w:r>
      <w:r w:rsidR="00C57489" w:rsidRPr="00C16BFB">
        <w:rPr>
          <w:i/>
        </w:rPr>
        <w:t xml:space="preserve">genom deltagande i olika FN-aktiviteter. </w:t>
      </w:r>
    </w:p>
    <w:p w14:paraId="31A9963C" w14:textId="77777777" w:rsidR="00246ACC" w:rsidRDefault="00C57489" w:rsidP="006B5EA5">
      <w:pPr>
        <w:rPr>
          <w:i/>
        </w:rPr>
      </w:pPr>
      <w:r w:rsidRPr="00C16BFB">
        <w:rPr>
          <w:i/>
        </w:rPr>
        <w:t xml:space="preserve">I den del stödet går via den svenska biståndsbudgeten eller den svenska försvarsbudgeten önskar </w:t>
      </w:r>
      <w:r w:rsidR="006B5EA5">
        <w:rPr>
          <w:i/>
        </w:rPr>
        <w:t>uppdragsgivaren</w:t>
      </w:r>
      <w:r w:rsidRPr="00C16BFB">
        <w:rPr>
          <w:i/>
        </w:rPr>
        <w:t xml:space="preserve"> att detta särredovisas.</w:t>
      </w:r>
    </w:p>
    <w:p w14:paraId="25EFD017" w14:textId="31415012" w:rsidR="00C57489" w:rsidRDefault="00FE2AC5" w:rsidP="006B5EA5">
      <w:pPr>
        <w:rPr>
          <w:i/>
        </w:rPr>
      </w:pPr>
      <w:r>
        <w:rPr>
          <w:i/>
        </w:rPr>
        <w:t>Uppdragsgivaren har också efterfrågat statistik över Sveriges utgifter till FN över tid samt en sammanställning över hur mycket andra nordiska och EU-länder totalt bidrar med till</w:t>
      </w:r>
      <w:r w:rsidR="00D91AE0">
        <w:rPr>
          <w:i/>
        </w:rPr>
        <w:t xml:space="preserve"> FN. </w:t>
      </w:r>
    </w:p>
    <w:p w14:paraId="34541AE2" w14:textId="77777777" w:rsidR="00CB7C66" w:rsidRDefault="00CB7C66" w:rsidP="006B5EA5">
      <w:pPr>
        <w:rPr>
          <w:i/>
        </w:rPr>
      </w:pPr>
    </w:p>
    <w:p w14:paraId="55311A6A" w14:textId="2FE43DC5" w:rsidR="00037199" w:rsidRDefault="00037199" w:rsidP="00037199">
      <w:pPr>
        <w:pStyle w:val="Rubrik1"/>
      </w:pPr>
      <w:r>
        <w:t xml:space="preserve">Sammanfattning </w:t>
      </w:r>
    </w:p>
    <w:p w14:paraId="62228076" w14:textId="38E2EDBE" w:rsidR="00037199" w:rsidRPr="00037199" w:rsidRDefault="00246ACC" w:rsidP="00B10F6B">
      <w:r>
        <w:t>Denna rapport redovisar Sverige</w:t>
      </w:r>
      <w:r w:rsidR="00CB7C66">
        <w:t>s</w:t>
      </w:r>
      <w:r>
        <w:t xml:space="preserve"> stöd till FN-organisationen och dess olika organ. 2019 gav Sverige sammanlagt cirka 16,7 miljarder SEK i bidrag</w:t>
      </w:r>
      <w:r w:rsidR="00310CCB">
        <w:t xml:space="preserve"> </w:t>
      </w:r>
      <w:r w:rsidR="006C7C08">
        <w:t xml:space="preserve">till FN </w:t>
      </w:r>
      <w:r w:rsidR="00310CCB">
        <w:t>(preliminära siffror)</w:t>
      </w:r>
      <w:r w:rsidR="00310CCB">
        <w:rPr>
          <w:rStyle w:val="Fotnotsreferens"/>
        </w:rPr>
        <w:footnoteReference w:id="2"/>
      </w:r>
      <w:r>
        <w:t xml:space="preserve">. </w:t>
      </w:r>
      <w:r w:rsidR="001939E1">
        <w:t>Förutom</w:t>
      </w:r>
      <w:r>
        <w:t xml:space="preserve"> detta utgjorde obligatoriska medlemsavgifter </w:t>
      </w:r>
      <w:r w:rsidR="001939E1">
        <w:t xml:space="preserve">ytterligare </w:t>
      </w:r>
      <w:r>
        <w:t>cirka 1 miljard SEK.</w:t>
      </w:r>
      <w:r w:rsidR="00E4507D">
        <w:t xml:space="preserve"> D</w:t>
      </w:r>
      <w:r w:rsidR="001939E1">
        <w:t>et totala FN-stödet inklusive medlemsavgift uppgår därför till ca 17,7 miljarder kr 2019.</w:t>
      </w:r>
    </w:p>
    <w:p w14:paraId="7B8A8CEA" w14:textId="20AFF866" w:rsidR="00246ACC" w:rsidRDefault="00246ACC" w:rsidP="00B10F6B">
      <w:r>
        <w:t>Den allra största delen av FN-stödet finansierades via biståndsbudgeten.</w:t>
      </w:r>
      <w:r w:rsidR="001939E1">
        <w:t xml:space="preserve"> FN-insatsen i Mali</w:t>
      </w:r>
      <w:r w:rsidR="008C0B9B">
        <w:t xml:space="preserve"> (</w:t>
      </w:r>
      <w:r w:rsidR="00E4507D">
        <w:t>MINUSMA</w:t>
      </w:r>
      <w:r w:rsidR="008C0B9B">
        <w:t>)</w:t>
      </w:r>
      <w:r w:rsidR="001939E1">
        <w:t xml:space="preserve"> finansieras </w:t>
      </w:r>
      <w:r w:rsidR="008C0B9B">
        <w:t>inom u</w:t>
      </w:r>
      <w:r w:rsidR="001939E1">
        <w:t xml:space="preserve">tgiftsområde 6 </w:t>
      </w:r>
      <w:r w:rsidR="008C0B9B">
        <w:t xml:space="preserve">Försvar och samhällets krisberedskap </w:t>
      </w:r>
      <w:r w:rsidR="001939E1">
        <w:t>och medlemsavgiften i</w:t>
      </w:r>
      <w:r w:rsidR="008C0B9B">
        <w:t>nom</w:t>
      </w:r>
      <w:r w:rsidR="001939E1">
        <w:t xml:space="preserve"> </w:t>
      </w:r>
      <w:r w:rsidR="008C0B9B">
        <w:t>u</w:t>
      </w:r>
      <w:r w:rsidR="001939E1">
        <w:t>tgiftsområde 5</w:t>
      </w:r>
      <w:r w:rsidR="008C0B9B">
        <w:t xml:space="preserve"> Internationell samverkan</w:t>
      </w:r>
      <w:r w:rsidR="001939E1">
        <w:t>. Dessa poster får inte räknas som bistånd enligt OECD.</w:t>
      </w:r>
    </w:p>
    <w:p w14:paraId="334C9945" w14:textId="3926BC2B" w:rsidR="000824D0" w:rsidRDefault="00246ACC" w:rsidP="00B10F6B">
      <w:r>
        <w:t xml:space="preserve">I rapporten ingår också en jämförelse mellan Sverige och övriga medlemmar i OECD:s biståndskommitté DAC, ett nätverk för de största biståndsgivarna. </w:t>
      </w:r>
      <w:r w:rsidR="001E5949">
        <w:t>OECD är den säkraste källan och har de</w:t>
      </w:r>
      <w:r w:rsidR="00952865">
        <w:t>n</w:t>
      </w:r>
      <w:r w:rsidR="001E5949">
        <w:t xml:space="preserve"> mest </w:t>
      </w:r>
      <w:r w:rsidR="00952865">
        <w:t xml:space="preserve">kompletta </w:t>
      </w:r>
      <w:r w:rsidR="009C77E2">
        <w:t xml:space="preserve">internationella statistiken. </w:t>
      </w:r>
      <w:r w:rsidR="00310CCB">
        <w:t>Jämförelsen visar hur mycket pengar länderna gett till FN år</w:t>
      </w:r>
      <w:r w:rsidR="00D6218B">
        <w:t>ligen</w:t>
      </w:r>
      <w:r w:rsidR="00310CCB">
        <w:t xml:space="preserve"> under perioden </w:t>
      </w:r>
      <w:r w:rsidR="001939E1">
        <w:t>2011–2018</w:t>
      </w:r>
      <w:r w:rsidR="00310CCB">
        <w:t xml:space="preserve">. I absoluta tal </w:t>
      </w:r>
      <w:r w:rsidR="00B90B8F">
        <w:t>va</w:t>
      </w:r>
      <w:r w:rsidR="00310CCB">
        <w:t>r Sverige den fjärde största bi</w:t>
      </w:r>
      <w:r w:rsidR="001939E1">
        <w:t>stånds</w:t>
      </w:r>
      <w:r w:rsidR="00310CCB">
        <w:t>givaren till FN bland de jämförda länderna</w:t>
      </w:r>
      <w:r w:rsidR="00B90B8F">
        <w:t xml:space="preserve"> 2017 och 2018</w:t>
      </w:r>
      <w:r w:rsidR="00310CCB">
        <w:t xml:space="preserve">. </w:t>
      </w:r>
      <w:r w:rsidR="00BC419B">
        <w:t xml:space="preserve">De tre största bidragsgivarna till FN-systemet är sedan 2016 </w:t>
      </w:r>
      <w:r w:rsidR="00310CCB">
        <w:t xml:space="preserve">USA, Tyskland och Storbritannien. När det gäller FN-bidrag per capita ligger Sverige </w:t>
      </w:r>
      <w:r w:rsidR="006F696B">
        <w:t>under hela perioden 2011</w:t>
      </w:r>
      <w:r w:rsidR="00E635F6">
        <w:t xml:space="preserve">–2018 </w:t>
      </w:r>
      <w:r w:rsidR="00310CCB">
        <w:t>på tredje plats av de jämförda länderna</w:t>
      </w:r>
      <w:r w:rsidR="00E635F6">
        <w:t>, efter Norge o</w:t>
      </w:r>
      <w:r w:rsidR="00310CCB">
        <w:t>ch Luxemburg.</w:t>
      </w:r>
    </w:p>
    <w:p w14:paraId="22AADB0C" w14:textId="77777777" w:rsidR="00B10F6B" w:rsidRPr="00037199" w:rsidRDefault="00B10F6B" w:rsidP="00B10F6B"/>
    <w:p w14:paraId="74A46463" w14:textId="57960284" w:rsidR="00FE45BB" w:rsidRDefault="00D91AE0" w:rsidP="00D91AE0">
      <w:pPr>
        <w:pStyle w:val="Rubrik1"/>
      </w:pPr>
      <w:r>
        <w:t>Inledning</w:t>
      </w:r>
    </w:p>
    <w:p w14:paraId="30EB6B74" w14:textId="27400541" w:rsidR="00C26702" w:rsidRDefault="00C26702" w:rsidP="00C26702">
      <w:r>
        <w:t>För att besvara uppdragsgivarens frågor har utredningstjänsten tagit hjälp av tjänstemän vid Utrikesdepartementet</w:t>
      </w:r>
      <w:r w:rsidR="00105C18">
        <w:t>s</w:t>
      </w:r>
      <w:r>
        <w:t xml:space="preserve"> avdelning för FN-politik, konfliktfrågor och humanitära frågor, som har sammanställt ett underlag som ligger till grund för denna rapport.</w:t>
      </w:r>
      <w:r>
        <w:rPr>
          <w:rStyle w:val="Fotnotsreferens"/>
        </w:rPr>
        <w:footnoteReference w:id="3"/>
      </w:r>
      <w:r w:rsidR="00323020">
        <w:t xml:space="preserve"> </w:t>
      </w:r>
    </w:p>
    <w:p w14:paraId="59716BEF" w14:textId="099978F1" w:rsidR="00D34324" w:rsidRDefault="00631438" w:rsidP="00C26702">
      <w:r>
        <w:t>D</w:t>
      </w:r>
      <w:r w:rsidR="002C4D94">
        <w:t>en internationella jämförelsen över hur mycket olika givarländer ge</w:t>
      </w:r>
      <w:r>
        <w:t xml:space="preserve">r </w:t>
      </w:r>
      <w:r w:rsidR="002C4D94">
        <w:t>till FN</w:t>
      </w:r>
      <w:r>
        <w:t xml:space="preserve"> </w:t>
      </w:r>
      <w:r w:rsidR="002C4D94">
        <w:t>bygger på öppna data från OECD</w:t>
      </w:r>
      <w:r w:rsidR="00D307BB">
        <w:t>:s statistikdatabas</w:t>
      </w:r>
      <w:r w:rsidR="00D307BB">
        <w:rPr>
          <w:rStyle w:val="Fotnotsreferens"/>
        </w:rPr>
        <w:footnoteReference w:id="4"/>
      </w:r>
      <w:r w:rsidR="002C4D94">
        <w:t xml:space="preserve">. </w:t>
      </w:r>
      <w:r w:rsidR="00D34324">
        <w:t>Anledningen till att utredningstjänsten valt att jämföra med dessa länder</w:t>
      </w:r>
      <w:r w:rsidR="002E6224">
        <w:t>na i OECD-DAC</w:t>
      </w:r>
      <w:r w:rsidR="00D34324">
        <w:t xml:space="preserve"> är att de ingår i samma nätverk av biståndsgivare. Vid sidan av medlemsländer i EU ingår även länder som Norge och Schweiz, men också bland andra USA och Japan.</w:t>
      </w:r>
      <w:r w:rsidR="00E4040D">
        <w:t xml:space="preserve"> </w:t>
      </w:r>
      <w:r w:rsidR="00A165A7">
        <w:t xml:space="preserve">Statistiken visar hela </w:t>
      </w:r>
      <w:r w:rsidR="00BB031B">
        <w:t>den perioden</w:t>
      </w:r>
      <w:r w:rsidR="00A165A7">
        <w:t xml:space="preserve"> (</w:t>
      </w:r>
      <w:r w:rsidR="00BB031B">
        <w:t>2011–2018</w:t>
      </w:r>
      <w:r w:rsidR="00A165A7">
        <w:t>) som finns tillgänglig på OECD:s statistikdatabas</w:t>
      </w:r>
      <w:r w:rsidR="00AE44C9">
        <w:t>, för just dessa specifika uppgifter</w:t>
      </w:r>
      <w:r w:rsidR="00A165A7">
        <w:t xml:space="preserve">. </w:t>
      </w:r>
    </w:p>
    <w:p w14:paraId="5CE49B66" w14:textId="142FF4E1" w:rsidR="000E4165" w:rsidRDefault="002C4D94" w:rsidP="00C26702">
      <w:r>
        <w:t>Notera att jämförelse</w:t>
      </w:r>
      <w:r w:rsidR="00B508C6">
        <w:t xml:space="preserve">n endast </w:t>
      </w:r>
      <w:r>
        <w:t xml:space="preserve">redovisar anslag som redovisats som bistånd, enligt OECD-DAC:s regelverk. </w:t>
      </w:r>
      <w:r w:rsidR="000E4165">
        <w:t>Eventuella</w:t>
      </w:r>
      <w:r>
        <w:t xml:space="preserve"> FN-bidrag som</w:t>
      </w:r>
      <w:r w:rsidR="00BE0C3D">
        <w:t xml:space="preserve"> inte</w:t>
      </w:r>
      <w:r>
        <w:t xml:space="preserve"> räknas som bistånd ingår alltså inte i denna sammanställning.</w:t>
      </w:r>
      <w:r w:rsidR="00B10F6B">
        <w:t xml:space="preserve"> </w:t>
      </w:r>
    </w:p>
    <w:p w14:paraId="3BEEDCC3" w14:textId="492A7125" w:rsidR="00C26702" w:rsidRPr="00C26702" w:rsidRDefault="000E4165" w:rsidP="00C26702">
      <w:r>
        <w:t>L</w:t>
      </w:r>
      <w:r w:rsidR="00B10F6B">
        <w:t>änder som ger stora belopp till FN, men som ej är medlemmar i OECD</w:t>
      </w:r>
      <w:r>
        <w:t xml:space="preserve"> (exempelvis Kina)</w:t>
      </w:r>
      <w:r w:rsidR="00B10F6B">
        <w:t xml:space="preserve"> ingår inte heller i denna </w:t>
      </w:r>
      <w:r>
        <w:t>sammanställning.</w:t>
      </w:r>
      <w:r w:rsidR="00B10F6B">
        <w:t xml:space="preserve"> </w:t>
      </w:r>
    </w:p>
    <w:p w14:paraId="4CCE9813" w14:textId="2CACEDBD" w:rsidR="00D91AE0" w:rsidRDefault="00D91AE0" w:rsidP="00D91AE0"/>
    <w:p w14:paraId="01294787" w14:textId="6B5DE44B" w:rsidR="00D91AE0" w:rsidRDefault="00514E1B" w:rsidP="00D91AE0">
      <w:pPr>
        <w:pStyle w:val="Rubrik1"/>
      </w:pPr>
      <w:r>
        <w:t xml:space="preserve">Sveriges </w:t>
      </w:r>
      <w:r w:rsidR="003757B0">
        <w:t>m</w:t>
      </w:r>
      <w:r w:rsidR="000E4165">
        <w:t>edlemsavgifter</w:t>
      </w:r>
      <w:r w:rsidR="003757B0">
        <w:t xml:space="preserve"> till FN</w:t>
      </w:r>
    </w:p>
    <w:p w14:paraId="62E82680" w14:textId="77777777" w:rsidR="003A17EB" w:rsidRDefault="0022432D" w:rsidP="0022432D">
      <w:r>
        <w:t xml:space="preserve">Sveriges obligatoriska medlemsavgifter till FN finansieras av anslag 1:1 Avgifter till internationella organisationer </w:t>
      </w:r>
      <w:r w:rsidR="00B266B5">
        <w:t xml:space="preserve">inom </w:t>
      </w:r>
      <w:r>
        <w:t>utgiftsområde 5 Internationell samverkan.</w:t>
      </w:r>
      <w:r w:rsidR="00824B4C">
        <w:t xml:space="preserve"> </w:t>
      </w:r>
    </w:p>
    <w:p w14:paraId="62036861" w14:textId="1AA79A8D" w:rsidR="00BE0C3D" w:rsidRDefault="0020202E" w:rsidP="0022432D">
      <w:r w:rsidRPr="007A42ED">
        <w:t>Med FN avses här FN-systemets sex huvudorgan</w:t>
      </w:r>
      <w:r w:rsidRPr="007A42ED">
        <w:rPr>
          <w:vertAlign w:val="superscript"/>
        </w:rPr>
        <w:footnoteReference w:id="5"/>
      </w:r>
      <w:r w:rsidRPr="007A42ED">
        <w:t>, samt underorgan, program och organisationer. FN:s s.k. underorgan inrättas av FN:s generalförsamling och är en del av FN. Utöver detta finns fackorgan, som är självständiga internationella organisationer för samarbete inom olika områden. De är inte underställda FN men har samarbetsavtal med FN och ingår i vad som brukar benämnas ”FN-systemet”.</w:t>
      </w:r>
      <w:r w:rsidRPr="007A42ED">
        <w:rPr>
          <w:vertAlign w:val="superscript"/>
        </w:rPr>
        <w:footnoteReference w:id="6"/>
      </w:r>
      <w:r w:rsidRPr="007A42ED">
        <w:t xml:space="preserve"> Andra multilaterala organisationer, till exempel Världsbanken, ingår inte i FN-systemet.</w:t>
      </w:r>
    </w:p>
    <w:p w14:paraId="162384B0" w14:textId="4FDED97F" w:rsidR="00BE0C3D" w:rsidRDefault="0022432D" w:rsidP="0022432D">
      <w:r>
        <w:t>Avgiften utgörs av flera obligatoriska avgifter/bidrag</w:t>
      </w:r>
      <w:r w:rsidR="00824B4C">
        <w:t>:</w:t>
      </w:r>
      <w:r>
        <w:t xml:space="preserve"> FN:s reguljära budget, </w:t>
      </w:r>
      <w:r w:rsidR="00824B4C">
        <w:t xml:space="preserve">FN:s fredsbevarande operationer samt vissa mindre FN-avgifter som gäller den </w:t>
      </w:r>
      <w:r w:rsidR="00824B4C">
        <w:lastRenderedPageBreak/>
        <w:t>Förberedande kommissionen för upprättande av provstoppsavtalets organisation, Organisationen för förbud mot kemiska vapen, för uppföljning av konventioner, översynskonferenser m</w:t>
      </w:r>
      <w:r w:rsidR="00A31F65">
        <w:t xml:space="preserve">.m. </w:t>
      </w:r>
      <w:r w:rsidR="00824B4C">
        <w:t xml:space="preserve"> </w:t>
      </w:r>
    </w:p>
    <w:p w14:paraId="68D0D546" w14:textId="2ED81164" w:rsidR="00FC3C12" w:rsidRPr="0022432D" w:rsidRDefault="0022432D" w:rsidP="0022432D">
      <w:r>
        <w:t xml:space="preserve">De summerade </w:t>
      </w:r>
      <w:r w:rsidR="000E4165">
        <w:t>medlemsavgifterna</w:t>
      </w:r>
      <w:r>
        <w:t xml:space="preserve"> redovisas nedan i </w:t>
      </w:r>
      <w:r w:rsidR="00A31F65">
        <w:t>t</w:t>
      </w:r>
      <w:r>
        <w:t>abell 1</w:t>
      </w:r>
      <w:r w:rsidR="00824B4C">
        <w:t>.</w:t>
      </w:r>
      <w:r w:rsidR="00680B20">
        <w:t xml:space="preserve"> Av redovisningen framgår att Sveriges obligatoriska avgifter till FN uppgick till drygt 1 miljon kronor 2019.</w:t>
      </w:r>
      <w:r w:rsidR="00824B4C">
        <w:t xml:space="preserve"> Variationen i kostnader för medlemskap</w:t>
      </w:r>
      <w:r w:rsidR="00592BDC">
        <w:t>et</w:t>
      </w:r>
      <w:r w:rsidR="00824B4C">
        <w:t xml:space="preserve"> kan förklaras </w:t>
      </w:r>
      <w:r w:rsidR="00A31F65">
        <w:t xml:space="preserve">dels </w:t>
      </w:r>
      <w:r w:rsidR="00824B4C">
        <w:t>av valutakursfluktuationer</w:t>
      </w:r>
      <w:r w:rsidR="00A31F65">
        <w:t>,</w:t>
      </w:r>
      <w:r w:rsidR="00824B4C">
        <w:t xml:space="preserve"> dels </w:t>
      </w:r>
      <w:r w:rsidR="00A31F65">
        <w:t xml:space="preserve">av </w:t>
      </w:r>
      <w:r w:rsidR="00824B4C">
        <w:t>att FN:s fredsbevarande insatser varierar till antal och kostnad från år till år.</w:t>
      </w:r>
      <w:r w:rsidR="00824B4C">
        <w:rPr>
          <w:rStyle w:val="Fotnotsreferens"/>
        </w:rPr>
        <w:footnoteReference w:id="7"/>
      </w:r>
    </w:p>
    <w:p w14:paraId="458A7F5E" w14:textId="77777777" w:rsidR="00742542" w:rsidRPr="00607502" w:rsidRDefault="00742542" w:rsidP="00607502"/>
    <w:p w14:paraId="6CB30C4F" w14:textId="40F8E4A0" w:rsidR="00A33B08" w:rsidRPr="00884681" w:rsidRDefault="00A33B08" w:rsidP="00A33B08">
      <w:pPr>
        <w:rPr>
          <w:b/>
          <w:i/>
          <w:lang w:val="de-DE"/>
        </w:rPr>
      </w:pPr>
      <w:r w:rsidRPr="00884681">
        <w:rPr>
          <w:b/>
          <w:i/>
          <w:lang w:val="de-DE"/>
        </w:rPr>
        <w:t>Tabell 1</w:t>
      </w:r>
      <w:r w:rsidR="007E6746" w:rsidRPr="00884681">
        <w:rPr>
          <w:b/>
          <w:i/>
          <w:lang w:val="de-DE"/>
        </w:rPr>
        <w:t>:</w:t>
      </w:r>
      <w:r w:rsidRPr="00884681">
        <w:rPr>
          <w:b/>
          <w:i/>
          <w:lang w:val="de-DE"/>
        </w:rPr>
        <w:t xml:space="preserve"> Sveriges avgifter för FN-medlemskapet</w:t>
      </w:r>
      <w:r w:rsidR="007E6746">
        <w:rPr>
          <w:b/>
          <w:i/>
          <w:lang w:val="de-DE"/>
        </w:rPr>
        <w:t>, 2011–2019</w:t>
      </w:r>
      <w:r w:rsidR="006139CF">
        <w:rPr>
          <w:b/>
          <w:i/>
          <w:lang w:val="de-DE"/>
        </w:rPr>
        <w:t xml:space="preserve"> (mnkr)</w:t>
      </w:r>
      <w:r w:rsidR="007E6746">
        <w:rPr>
          <w:b/>
          <w:i/>
          <w:lang w:val="de-DE"/>
        </w:rPr>
        <w:t>.</w:t>
      </w:r>
    </w:p>
    <w:tbl>
      <w:tblPr>
        <w:tblW w:w="7494" w:type="dxa"/>
        <w:tblCellMar>
          <w:left w:w="70" w:type="dxa"/>
          <w:right w:w="70" w:type="dxa"/>
        </w:tblCellMar>
        <w:tblLook w:val="04A0" w:firstRow="1" w:lastRow="0" w:firstColumn="1" w:lastColumn="0" w:noHBand="0" w:noVBand="1"/>
      </w:tblPr>
      <w:tblGrid>
        <w:gridCol w:w="814"/>
        <w:gridCol w:w="815"/>
        <w:gridCol w:w="815"/>
        <w:gridCol w:w="815"/>
        <w:gridCol w:w="815"/>
        <w:gridCol w:w="815"/>
        <w:gridCol w:w="74"/>
        <w:gridCol w:w="741"/>
        <w:gridCol w:w="93"/>
        <w:gridCol w:w="724"/>
        <w:gridCol w:w="815"/>
        <w:gridCol w:w="158"/>
      </w:tblGrid>
      <w:tr w:rsidR="00BE0C3D" w:rsidRPr="00731681" w14:paraId="7BE37CFA" w14:textId="77777777" w:rsidTr="00884681">
        <w:trPr>
          <w:trHeight w:val="310"/>
        </w:trPr>
        <w:tc>
          <w:tcPr>
            <w:tcW w:w="814" w:type="dxa"/>
            <w:tcBorders>
              <w:top w:val="single" w:sz="4" w:space="0" w:color="auto"/>
              <w:left w:val="nil"/>
              <w:bottom w:val="single" w:sz="4" w:space="0" w:color="auto"/>
              <w:right w:val="nil"/>
            </w:tcBorders>
            <w:vAlign w:val="center"/>
          </w:tcPr>
          <w:p w14:paraId="521E101B" w14:textId="54A3520F" w:rsidR="00BE0C3D" w:rsidRPr="00731681" w:rsidRDefault="00BE0C3D" w:rsidP="00884681">
            <w:pPr>
              <w:tabs>
                <w:tab w:val="clear" w:pos="284"/>
              </w:tabs>
              <w:spacing w:after="0" w:line="240" w:lineRule="auto"/>
              <w:jc w:val="right"/>
              <w:rPr>
                <w:b/>
                <w:bCs/>
                <w:color w:val="000000"/>
                <w:sz w:val="20"/>
                <w:szCs w:val="20"/>
              </w:rPr>
            </w:pPr>
            <w:r w:rsidRPr="00731681">
              <w:rPr>
                <w:b/>
                <w:bCs/>
                <w:color w:val="000000"/>
                <w:sz w:val="20"/>
                <w:szCs w:val="20"/>
              </w:rPr>
              <w:t>2011</w:t>
            </w:r>
          </w:p>
        </w:tc>
        <w:tc>
          <w:tcPr>
            <w:tcW w:w="815" w:type="dxa"/>
            <w:tcBorders>
              <w:top w:val="single" w:sz="4" w:space="0" w:color="auto"/>
              <w:left w:val="nil"/>
              <w:bottom w:val="single" w:sz="4" w:space="0" w:color="auto"/>
              <w:right w:val="nil"/>
            </w:tcBorders>
            <w:vAlign w:val="center"/>
          </w:tcPr>
          <w:p w14:paraId="22F9D111" w14:textId="188FF87F" w:rsidR="00BE0C3D" w:rsidRPr="00731681" w:rsidRDefault="00BE0C3D" w:rsidP="00884681">
            <w:pPr>
              <w:tabs>
                <w:tab w:val="clear" w:pos="284"/>
              </w:tabs>
              <w:spacing w:after="0" w:line="240" w:lineRule="auto"/>
              <w:jc w:val="right"/>
              <w:rPr>
                <w:b/>
                <w:bCs/>
                <w:color w:val="000000"/>
                <w:sz w:val="20"/>
                <w:szCs w:val="20"/>
              </w:rPr>
            </w:pPr>
            <w:r w:rsidRPr="00731681">
              <w:rPr>
                <w:b/>
                <w:bCs/>
                <w:color w:val="000000"/>
                <w:sz w:val="20"/>
                <w:szCs w:val="20"/>
              </w:rPr>
              <w:t>2012</w:t>
            </w:r>
          </w:p>
        </w:tc>
        <w:tc>
          <w:tcPr>
            <w:tcW w:w="815" w:type="dxa"/>
            <w:tcBorders>
              <w:top w:val="single" w:sz="4" w:space="0" w:color="auto"/>
              <w:left w:val="nil"/>
              <w:bottom w:val="single" w:sz="4" w:space="0" w:color="auto"/>
              <w:right w:val="nil"/>
            </w:tcBorders>
            <w:shd w:val="clear" w:color="auto" w:fill="auto"/>
            <w:noWrap/>
            <w:vAlign w:val="center"/>
          </w:tcPr>
          <w:p w14:paraId="44738AD0" w14:textId="1F1BD9CC" w:rsidR="00BE0C3D" w:rsidRPr="00731681" w:rsidRDefault="00BE0C3D" w:rsidP="00884681">
            <w:pPr>
              <w:tabs>
                <w:tab w:val="clear" w:pos="284"/>
              </w:tabs>
              <w:spacing w:after="0" w:line="240" w:lineRule="auto"/>
              <w:jc w:val="right"/>
              <w:rPr>
                <w:color w:val="000000"/>
                <w:sz w:val="20"/>
                <w:szCs w:val="20"/>
              </w:rPr>
            </w:pPr>
            <w:r w:rsidRPr="00731681">
              <w:rPr>
                <w:b/>
                <w:bCs/>
                <w:color w:val="000000"/>
                <w:sz w:val="20"/>
                <w:szCs w:val="20"/>
              </w:rPr>
              <w:t>2013</w:t>
            </w:r>
          </w:p>
        </w:tc>
        <w:tc>
          <w:tcPr>
            <w:tcW w:w="815" w:type="dxa"/>
            <w:tcBorders>
              <w:top w:val="single" w:sz="4" w:space="0" w:color="auto"/>
              <w:left w:val="nil"/>
              <w:bottom w:val="single" w:sz="4" w:space="0" w:color="auto"/>
              <w:right w:val="nil"/>
            </w:tcBorders>
            <w:shd w:val="clear" w:color="auto" w:fill="auto"/>
            <w:noWrap/>
            <w:vAlign w:val="center"/>
          </w:tcPr>
          <w:p w14:paraId="1FA12C0D" w14:textId="0A7F3AF5" w:rsidR="00BE0C3D" w:rsidRPr="00731681" w:rsidRDefault="00BE0C3D" w:rsidP="00884681">
            <w:pPr>
              <w:tabs>
                <w:tab w:val="clear" w:pos="284"/>
              </w:tabs>
              <w:spacing w:after="0" w:line="240" w:lineRule="auto"/>
              <w:jc w:val="right"/>
              <w:rPr>
                <w:color w:val="000000"/>
                <w:sz w:val="20"/>
                <w:szCs w:val="20"/>
              </w:rPr>
            </w:pPr>
            <w:r w:rsidRPr="00731681">
              <w:rPr>
                <w:b/>
                <w:bCs/>
                <w:color w:val="000000"/>
                <w:sz w:val="20"/>
                <w:szCs w:val="20"/>
              </w:rPr>
              <w:t>2014</w:t>
            </w:r>
          </w:p>
        </w:tc>
        <w:tc>
          <w:tcPr>
            <w:tcW w:w="815" w:type="dxa"/>
            <w:tcBorders>
              <w:top w:val="single" w:sz="4" w:space="0" w:color="auto"/>
              <w:left w:val="nil"/>
              <w:bottom w:val="single" w:sz="4" w:space="0" w:color="auto"/>
              <w:right w:val="nil"/>
            </w:tcBorders>
            <w:shd w:val="clear" w:color="auto" w:fill="auto"/>
            <w:noWrap/>
            <w:vAlign w:val="center"/>
          </w:tcPr>
          <w:p w14:paraId="0523A413" w14:textId="4E05864B" w:rsidR="00BE0C3D" w:rsidRPr="00731681" w:rsidRDefault="00BE0C3D" w:rsidP="00884681">
            <w:pPr>
              <w:tabs>
                <w:tab w:val="clear" w:pos="284"/>
              </w:tabs>
              <w:spacing w:after="0" w:line="240" w:lineRule="auto"/>
              <w:jc w:val="right"/>
              <w:rPr>
                <w:color w:val="000000"/>
                <w:sz w:val="20"/>
                <w:szCs w:val="20"/>
              </w:rPr>
            </w:pPr>
            <w:r w:rsidRPr="00731681">
              <w:rPr>
                <w:b/>
                <w:bCs/>
                <w:color w:val="000000"/>
                <w:sz w:val="20"/>
                <w:szCs w:val="20"/>
              </w:rPr>
              <w:t>2015</w:t>
            </w:r>
          </w:p>
        </w:tc>
        <w:tc>
          <w:tcPr>
            <w:tcW w:w="815" w:type="dxa"/>
            <w:tcBorders>
              <w:top w:val="single" w:sz="4" w:space="0" w:color="auto"/>
              <w:left w:val="nil"/>
              <w:bottom w:val="single" w:sz="4" w:space="0" w:color="auto"/>
              <w:right w:val="nil"/>
            </w:tcBorders>
            <w:shd w:val="clear" w:color="auto" w:fill="auto"/>
            <w:noWrap/>
            <w:vAlign w:val="center"/>
          </w:tcPr>
          <w:p w14:paraId="435A2CF7" w14:textId="44FDDB6A" w:rsidR="00BE0C3D" w:rsidRPr="00731681" w:rsidRDefault="00BE0C3D" w:rsidP="00884681">
            <w:pPr>
              <w:tabs>
                <w:tab w:val="clear" w:pos="284"/>
              </w:tabs>
              <w:spacing w:after="0" w:line="240" w:lineRule="auto"/>
              <w:jc w:val="right"/>
              <w:rPr>
                <w:color w:val="000000"/>
                <w:sz w:val="20"/>
                <w:szCs w:val="20"/>
              </w:rPr>
            </w:pPr>
            <w:r w:rsidRPr="00731681">
              <w:rPr>
                <w:b/>
                <w:bCs/>
                <w:color w:val="000000"/>
                <w:sz w:val="20"/>
                <w:szCs w:val="20"/>
              </w:rPr>
              <w:t>2016</w:t>
            </w:r>
          </w:p>
        </w:tc>
        <w:tc>
          <w:tcPr>
            <w:tcW w:w="815" w:type="dxa"/>
            <w:gridSpan w:val="2"/>
            <w:tcBorders>
              <w:top w:val="single" w:sz="4" w:space="0" w:color="auto"/>
              <w:left w:val="nil"/>
              <w:bottom w:val="single" w:sz="4" w:space="0" w:color="auto"/>
              <w:right w:val="nil"/>
            </w:tcBorders>
            <w:shd w:val="clear" w:color="auto" w:fill="auto"/>
            <w:noWrap/>
            <w:vAlign w:val="center"/>
          </w:tcPr>
          <w:p w14:paraId="757BE52E" w14:textId="59D74820" w:rsidR="00BE0C3D" w:rsidRPr="00731681" w:rsidRDefault="00BE0C3D" w:rsidP="00884681">
            <w:pPr>
              <w:tabs>
                <w:tab w:val="clear" w:pos="284"/>
              </w:tabs>
              <w:spacing w:after="0" w:line="240" w:lineRule="auto"/>
              <w:jc w:val="right"/>
              <w:rPr>
                <w:color w:val="000000"/>
                <w:sz w:val="20"/>
                <w:szCs w:val="20"/>
              </w:rPr>
            </w:pPr>
            <w:r w:rsidRPr="00731681">
              <w:rPr>
                <w:b/>
                <w:bCs/>
                <w:color w:val="000000"/>
                <w:sz w:val="20"/>
                <w:szCs w:val="20"/>
              </w:rPr>
              <w:t>2017</w:t>
            </w:r>
          </w:p>
        </w:tc>
        <w:tc>
          <w:tcPr>
            <w:tcW w:w="817" w:type="dxa"/>
            <w:gridSpan w:val="2"/>
            <w:tcBorders>
              <w:top w:val="single" w:sz="4" w:space="0" w:color="auto"/>
              <w:left w:val="nil"/>
              <w:bottom w:val="single" w:sz="4" w:space="0" w:color="auto"/>
              <w:right w:val="nil"/>
            </w:tcBorders>
            <w:shd w:val="clear" w:color="auto" w:fill="auto"/>
            <w:noWrap/>
            <w:vAlign w:val="center"/>
          </w:tcPr>
          <w:p w14:paraId="2D1413AB" w14:textId="32F6CC91" w:rsidR="00BE0C3D" w:rsidRPr="00731681" w:rsidRDefault="00BE0C3D" w:rsidP="00884681">
            <w:pPr>
              <w:tabs>
                <w:tab w:val="clear" w:pos="284"/>
              </w:tabs>
              <w:spacing w:after="0" w:line="240" w:lineRule="auto"/>
              <w:jc w:val="right"/>
              <w:rPr>
                <w:color w:val="000000"/>
                <w:sz w:val="20"/>
                <w:szCs w:val="20"/>
              </w:rPr>
            </w:pPr>
            <w:r w:rsidRPr="00731681">
              <w:rPr>
                <w:b/>
                <w:bCs/>
                <w:color w:val="000000"/>
                <w:sz w:val="20"/>
                <w:szCs w:val="20"/>
              </w:rPr>
              <w:t>2018</w:t>
            </w:r>
          </w:p>
        </w:tc>
        <w:tc>
          <w:tcPr>
            <w:tcW w:w="815" w:type="dxa"/>
            <w:tcBorders>
              <w:top w:val="single" w:sz="4" w:space="0" w:color="auto"/>
              <w:left w:val="nil"/>
              <w:bottom w:val="single" w:sz="4" w:space="0" w:color="auto"/>
              <w:right w:val="nil"/>
            </w:tcBorders>
            <w:shd w:val="clear" w:color="auto" w:fill="auto"/>
            <w:noWrap/>
            <w:vAlign w:val="center"/>
          </w:tcPr>
          <w:p w14:paraId="764347A2" w14:textId="4112A174" w:rsidR="00BE0C3D" w:rsidRPr="00731681" w:rsidRDefault="00BE0C3D" w:rsidP="006139CF">
            <w:pPr>
              <w:tabs>
                <w:tab w:val="clear" w:pos="284"/>
              </w:tabs>
              <w:spacing w:after="0" w:line="240" w:lineRule="auto"/>
              <w:jc w:val="right"/>
              <w:rPr>
                <w:color w:val="000000"/>
                <w:sz w:val="20"/>
                <w:szCs w:val="20"/>
              </w:rPr>
            </w:pPr>
            <w:r w:rsidRPr="00731681">
              <w:rPr>
                <w:b/>
                <w:bCs/>
                <w:color w:val="000000"/>
                <w:sz w:val="20"/>
                <w:szCs w:val="20"/>
              </w:rPr>
              <w:t>2019</w:t>
            </w:r>
          </w:p>
        </w:tc>
        <w:tc>
          <w:tcPr>
            <w:tcW w:w="158" w:type="dxa"/>
            <w:tcBorders>
              <w:top w:val="single" w:sz="4" w:space="0" w:color="auto"/>
              <w:left w:val="nil"/>
              <w:bottom w:val="single" w:sz="4" w:space="0" w:color="auto"/>
              <w:right w:val="nil"/>
            </w:tcBorders>
            <w:shd w:val="clear" w:color="auto" w:fill="auto"/>
            <w:noWrap/>
            <w:vAlign w:val="center"/>
          </w:tcPr>
          <w:p w14:paraId="0E1FFAC1" w14:textId="6FBE9FBD" w:rsidR="00BE0C3D" w:rsidRPr="00731681" w:rsidRDefault="00BE0C3D" w:rsidP="006139CF">
            <w:pPr>
              <w:tabs>
                <w:tab w:val="clear" w:pos="284"/>
              </w:tabs>
              <w:spacing w:after="0" w:line="240" w:lineRule="auto"/>
              <w:jc w:val="right"/>
              <w:rPr>
                <w:color w:val="000000"/>
                <w:sz w:val="20"/>
                <w:szCs w:val="20"/>
              </w:rPr>
            </w:pPr>
          </w:p>
        </w:tc>
      </w:tr>
      <w:tr w:rsidR="00BE0C3D" w:rsidRPr="00731681" w14:paraId="2AF542C2" w14:textId="77777777" w:rsidTr="00884681">
        <w:trPr>
          <w:trHeight w:val="198"/>
        </w:trPr>
        <w:tc>
          <w:tcPr>
            <w:tcW w:w="814" w:type="dxa"/>
            <w:tcBorders>
              <w:top w:val="nil"/>
              <w:left w:val="nil"/>
              <w:bottom w:val="single" w:sz="4" w:space="0" w:color="auto"/>
              <w:right w:val="nil"/>
            </w:tcBorders>
            <w:vAlign w:val="center"/>
          </w:tcPr>
          <w:p w14:paraId="33AFE613" w14:textId="79F34589" w:rsidR="00BE0C3D" w:rsidRPr="00731681" w:rsidRDefault="00BE0C3D" w:rsidP="006139CF">
            <w:pPr>
              <w:tabs>
                <w:tab w:val="clear" w:pos="284"/>
              </w:tabs>
              <w:spacing w:after="0" w:line="240" w:lineRule="auto"/>
              <w:jc w:val="right"/>
              <w:rPr>
                <w:sz w:val="20"/>
                <w:szCs w:val="20"/>
                <w:lang w:val="de-DE"/>
              </w:rPr>
            </w:pPr>
            <w:r w:rsidRPr="00731681">
              <w:rPr>
                <w:color w:val="000000"/>
                <w:sz w:val="20"/>
                <w:szCs w:val="20"/>
              </w:rPr>
              <w:t>79</w:t>
            </w:r>
            <w:r w:rsidR="006139CF">
              <w:rPr>
                <w:color w:val="000000"/>
                <w:sz w:val="20"/>
                <w:szCs w:val="20"/>
              </w:rPr>
              <w:t>7</w:t>
            </w:r>
          </w:p>
        </w:tc>
        <w:tc>
          <w:tcPr>
            <w:tcW w:w="815" w:type="dxa"/>
            <w:tcBorders>
              <w:top w:val="nil"/>
              <w:left w:val="nil"/>
              <w:bottom w:val="single" w:sz="4" w:space="0" w:color="auto"/>
              <w:right w:val="nil"/>
            </w:tcBorders>
            <w:vAlign w:val="center"/>
          </w:tcPr>
          <w:p w14:paraId="01371564" w14:textId="0B1D3126" w:rsidR="00BE0C3D" w:rsidRPr="00731681" w:rsidRDefault="00BE0C3D" w:rsidP="006139CF">
            <w:pPr>
              <w:tabs>
                <w:tab w:val="clear" w:pos="284"/>
              </w:tabs>
              <w:spacing w:after="0" w:line="240" w:lineRule="auto"/>
              <w:jc w:val="right"/>
              <w:rPr>
                <w:sz w:val="20"/>
                <w:szCs w:val="20"/>
                <w:lang w:val="de-DE"/>
              </w:rPr>
            </w:pPr>
            <w:r w:rsidRPr="00731681">
              <w:rPr>
                <w:color w:val="000000"/>
                <w:sz w:val="20"/>
                <w:szCs w:val="20"/>
              </w:rPr>
              <w:t>477</w:t>
            </w:r>
          </w:p>
        </w:tc>
        <w:tc>
          <w:tcPr>
            <w:tcW w:w="815" w:type="dxa"/>
            <w:tcBorders>
              <w:top w:val="nil"/>
              <w:left w:val="nil"/>
              <w:bottom w:val="single" w:sz="4" w:space="0" w:color="auto"/>
              <w:right w:val="nil"/>
            </w:tcBorders>
            <w:shd w:val="clear" w:color="auto" w:fill="auto"/>
            <w:noWrap/>
          </w:tcPr>
          <w:p w14:paraId="79E954AB" w14:textId="26865951" w:rsidR="00BE0C3D" w:rsidRPr="00731681" w:rsidRDefault="00BE0C3D" w:rsidP="006139CF">
            <w:pPr>
              <w:tabs>
                <w:tab w:val="clear" w:pos="284"/>
              </w:tabs>
              <w:spacing w:after="0" w:line="240" w:lineRule="auto"/>
              <w:jc w:val="right"/>
              <w:rPr>
                <w:color w:val="000000"/>
                <w:sz w:val="20"/>
                <w:szCs w:val="20"/>
              </w:rPr>
            </w:pPr>
            <w:r w:rsidRPr="00731681">
              <w:rPr>
                <w:sz w:val="20"/>
                <w:szCs w:val="20"/>
                <w:lang w:val="de-DE"/>
              </w:rPr>
              <w:t>76</w:t>
            </w:r>
            <w:r w:rsidR="006139CF">
              <w:rPr>
                <w:sz w:val="20"/>
                <w:szCs w:val="20"/>
                <w:lang w:val="de-DE"/>
              </w:rPr>
              <w:t>1</w:t>
            </w:r>
          </w:p>
        </w:tc>
        <w:tc>
          <w:tcPr>
            <w:tcW w:w="815" w:type="dxa"/>
            <w:tcBorders>
              <w:top w:val="nil"/>
              <w:left w:val="nil"/>
              <w:bottom w:val="single" w:sz="4" w:space="0" w:color="auto"/>
              <w:right w:val="nil"/>
            </w:tcBorders>
            <w:shd w:val="clear" w:color="auto" w:fill="auto"/>
            <w:noWrap/>
          </w:tcPr>
          <w:p w14:paraId="07622CDE" w14:textId="04BF8498" w:rsidR="00BE0C3D" w:rsidRPr="00731681" w:rsidRDefault="00BE0C3D" w:rsidP="006139CF">
            <w:pPr>
              <w:tabs>
                <w:tab w:val="clear" w:pos="284"/>
              </w:tabs>
              <w:spacing w:after="0" w:line="240" w:lineRule="auto"/>
              <w:jc w:val="right"/>
              <w:rPr>
                <w:color w:val="000000"/>
                <w:sz w:val="20"/>
                <w:szCs w:val="20"/>
              </w:rPr>
            </w:pPr>
            <w:r w:rsidRPr="00731681">
              <w:rPr>
                <w:sz w:val="20"/>
                <w:szCs w:val="20"/>
                <w:lang w:val="de-DE"/>
              </w:rPr>
              <w:t>572</w:t>
            </w:r>
          </w:p>
        </w:tc>
        <w:tc>
          <w:tcPr>
            <w:tcW w:w="815" w:type="dxa"/>
            <w:tcBorders>
              <w:top w:val="nil"/>
              <w:left w:val="nil"/>
              <w:bottom w:val="single" w:sz="4" w:space="0" w:color="auto"/>
              <w:right w:val="nil"/>
            </w:tcBorders>
            <w:shd w:val="clear" w:color="auto" w:fill="auto"/>
            <w:noWrap/>
          </w:tcPr>
          <w:p w14:paraId="5C600728" w14:textId="424E7D61" w:rsidR="00BE0C3D" w:rsidRPr="00731681" w:rsidRDefault="00BE0C3D" w:rsidP="006139CF">
            <w:pPr>
              <w:tabs>
                <w:tab w:val="clear" w:pos="284"/>
              </w:tabs>
              <w:spacing w:after="0" w:line="240" w:lineRule="auto"/>
              <w:jc w:val="right"/>
              <w:rPr>
                <w:color w:val="000000"/>
                <w:sz w:val="20"/>
                <w:szCs w:val="20"/>
              </w:rPr>
            </w:pPr>
            <w:r w:rsidRPr="00731681">
              <w:rPr>
                <w:sz w:val="20"/>
                <w:szCs w:val="20"/>
                <w:lang w:val="de-DE"/>
              </w:rPr>
              <w:t>857</w:t>
            </w:r>
          </w:p>
        </w:tc>
        <w:tc>
          <w:tcPr>
            <w:tcW w:w="889" w:type="dxa"/>
            <w:gridSpan w:val="2"/>
            <w:tcBorders>
              <w:top w:val="nil"/>
              <w:left w:val="nil"/>
              <w:bottom w:val="single" w:sz="4" w:space="0" w:color="auto"/>
              <w:right w:val="nil"/>
            </w:tcBorders>
            <w:shd w:val="clear" w:color="auto" w:fill="auto"/>
            <w:noWrap/>
          </w:tcPr>
          <w:p w14:paraId="6AFF6072" w14:textId="582CDAFD" w:rsidR="00BE0C3D" w:rsidRPr="00731681" w:rsidRDefault="00BE0C3D" w:rsidP="006139CF">
            <w:pPr>
              <w:tabs>
                <w:tab w:val="clear" w:pos="284"/>
              </w:tabs>
              <w:spacing w:after="0" w:line="240" w:lineRule="auto"/>
              <w:jc w:val="right"/>
              <w:rPr>
                <w:color w:val="000000"/>
                <w:sz w:val="20"/>
                <w:szCs w:val="20"/>
              </w:rPr>
            </w:pPr>
            <w:r w:rsidRPr="00731681">
              <w:rPr>
                <w:sz w:val="20"/>
                <w:szCs w:val="20"/>
                <w:lang w:val="de-DE"/>
              </w:rPr>
              <w:t>9</w:t>
            </w:r>
            <w:r w:rsidR="006139CF">
              <w:rPr>
                <w:sz w:val="20"/>
                <w:szCs w:val="20"/>
                <w:lang w:val="de-DE"/>
              </w:rPr>
              <w:t>50</w:t>
            </w:r>
          </w:p>
        </w:tc>
        <w:tc>
          <w:tcPr>
            <w:tcW w:w="834" w:type="dxa"/>
            <w:gridSpan w:val="2"/>
            <w:tcBorders>
              <w:top w:val="nil"/>
              <w:left w:val="nil"/>
              <w:bottom w:val="single" w:sz="4" w:space="0" w:color="auto"/>
              <w:right w:val="nil"/>
            </w:tcBorders>
            <w:shd w:val="clear" w:color="auto" w:fill="auto"/>
            <w:noWrap/>
          </w:tcPr>
          <w:p w14:paraId="6223EA3A" w14:textId="7D7F24DF" w:rsidR="00BE0C3D" w:rsidRPr="00731681" w:rsidRDefault="00BE0C3D" w:rsidP="006139CF">
            <w:pPr>
              <w:tabs>
                <w:tab w:val="clear" w:pos="284"/>
              </w:tabs>
              <w:spacing w:after="0" w:line="240" w:lineRule="auto"/>
              <w:ind w:hanging="70"/>
              <w:jc w:val="right"/>
              <w:rPr>
                <w:color w:val="000000"/>
                <w:sz w:val="20"/>
                <w:szCs w:val="20"/>
              </w:rPr>
            </w:pPr>
            <w:r w:rsidRPr="00731681">
              <w:rPr>
                <w:sz w:val="20"/>
                <w:szCs w:val="20"/>
                <w:lang w:val="de-DE"/>
              </w:rPr>
              <w:t>79</w:t>
            </w:r>
            <w:r w:rsidR="006139CF">
              <w:rPr>
                <w:sz w:val="20"/>
                <w:szCs w:val="20"/>
                <w:lang w:val="de-DE"/>
              </w:rPr>
              <w:t>5</w:t>
            </w:r>
          </w:p>
        </w:tc>
        <w:tc>
          <w:tcPr>
            <w:tcW w:w="724" w:type="dxa"/>
            <w:tcBorders>
              <w:top w:val="nil"/>
              <w:left w:val="nil"/>
              <w:bottom w:val="single" w:sz="4" w:space="0" w:color="auto"/>
              <w:right w:val="nil"/>
            </w:tcBorders>
            <w:shd w:val="clear" w:color="auto" w:fill="auto"/>
            <w:noWrap/>
          </w:tcPr>
          <w:p w14:paraId="16DD93CE" w14:textId="4BD9F334" w:rsidR="00BE0C3D" w:rsidRPr="00731681" w:rsidRDefault="00BE0C3D" w:rsidP="006139CF">
            <w:pPr>
              <w:tabs>
                <w:tab w:val="clear" w:pos="284"/>
              </w:tabs>
              <w:spacing w:after="0" w:line="240" w:lineRule="auto"/>
              <w:ind w:hanging="67"/>
              <w:jc w:val="right"/>
              <w:rPr>
                <w:color w:val="000000"/>
                <w:sz w:val="20"/>
                <w:szCs w:val="20"/>
              </w:rPr>
            </w:pPr>
            <w:r w:rsidRPr="00731681">
              <w:rPr>
                <w:sz w:val="20"/>
                <w:szCs w:val="20"/>
                <w:lang w:val="de-DE"/>
              </w:rPr>
              <w:t>60</w:t>
            </w:r>
            <w:r w:rsidR="006139CF">
              <w:rPr>
                <w:sz w:val="20"/>
                <w:szCs w:val="20"/>
                <w:lang w:val="de-DE"/>
              </w:rPr>
              <w:t>4</w:t>
            </w:r>
          </w:p>
        </w:tc>
        <w:tc>
          <w:tcPr>
            <w:tcW w:w="973" w:type="dxa"/>
            <w:gridSpan w:val="2"/>
            <w:tcBorders>
              <w:top w:val="nil"/>
              <w:left w:val="nil"/>
              <w:bottom w:val="single" w:sz="4" w:space="0" w:color="auto"/>
              <w:right w:val="nil"/>
            </w:tcBorders>
            <w:shd w:val="clear" w:color="auto" w:fill="auto"/>
            <w:noWrap/>
          </w:tcPr>
          <w:p w14:paraId="4D7C0C6B" w14:textId="0353DCD3" w:rsidR="00BE0C3D" w:rsidRPr="00731681" w:rsidRDefault="00BE0C3D" w:rsidP="006139CF">
            <w:pPr>
              <w:tabs>
                <w:tab w:val="clear" w:pos="284"/>
              </w:tabs>
              <w:spacing w:after="0" w:line="240" w:lineRule="auto"/>
              <w:jc w:val="right"/>
              <w:rPr>
                <w:color w:val="000000"/>
                <w:sz w:val="20"/>
                <w:szCs w:val="20"/>
              </w:rPr>
            </w:pPr>
            <w:r w:rsidRPr="00731681">
              <w:rPr>
                <w:sz w:val="20"/>
                <w:szCs w:val="20"/>
                <w:lang w:val="de-DE"/>
              </w:rPr>
              <w:t>1</w:t>
            </w:r>
            <w:r>
              <w:rPr>
                <w:sz w:val="20"/>
                <w:szCs w:val="20"/>
                <w:lang w:val="de-DE"/>
              </w:rPr>
              <w:t> </w:t>
            </w:r>
            <w:r w:rsidRPr="00731681">
              <w:rPr>
                <w:sz w:val="20"/>
                <w:szCs w:val="20"/>
                <w:lang w:val="de-DE"/>
              </w:rPr>
              <w:t>044</w:t>
            </w:r>
          </w:p>
        </w:tc>
      </w:tr>
    </w:tbl>
    <w:p w14:paraId="673B867B" w14:textId="50A8318F" w:rsidR="00731681" w:rsidRPr="00884681" w:rsidRDefault="00A33B08" w:rsidP="00742542">
      <w:pPr>
        <w:pStyle w:val="Tabell-Klla"/>
        <w:rPr>
          <w:rFonts w:eastAsiaTheme="minorHAnsi"/>
          <w:i w:val="0"/>
          <w:sz w:val="20"/>
          <w:szCs w:val="20"/>
          <w:lang w:val="de-DE" w:eastAsia="en-US"/>
        </w:rPr>
      </w:pPr>
      <w:r w:rsidRPr="00884681">
        <w:rPr>
          <w:rFonts w:eastAsiaTheme="minorHAnsi"/>
          <w:i w:val="0"/>
          <w:sz w:val="20"/>
          <w:szCs w:val="20"/>
          <w:lang w:val="de-DE" w:eastAsia="en-US"/>
        </w:rPr>
        <w:t>Källa: Utrikesdepartementet</w:t>
      </w:r>
      <w:r w:rsidR="003A5E84">
        <w:rPr>
          <w:rFonts w:eastAsiaTheme="minorHAnsi"/>
          <w:i w:val="0"/>
          <w:sz w:val="20"/>
          <w:szCs w:val="20"/>
          <w:lang w:val="de-DE" w:eastAsia="en-US"/>
        </w:rPr>
        <w:t>.</w:t>
      </w:r>
    </w:p>
    <w:p w14:paraId="13D17588" w14:textId="3C88CDC2" w:rsidR="00EE0449" w:rsidRDefault="00EE0449" w:rsidP="00EE0449">
      <w:pPr>
        <w:rPr>
          <w:rFonts w:eastAsiaTheme="minorHAnsi"/>
          <w:lang w:val="de-DE" w:eastAsia="en-US"/>
        </w:rPr>
      </w:pPr>
    </w:p>
    <w:p w14:paraId="674A6B28" w14:textId="77777777" w:rsidR="00FC3C12" w:rsidRPr="00EE0449" w:rsidRDefault="00FC3C12" w:rsidP="00EE0449">
      <w:pPr>
        <w:rPr>
          <w:rFonts w:eastAsiaTheme="minorHAnsi"/>
          <w:lang w:val="de-DE" w:eastAsia="en-US"/>
        </w:rPr>
      </w:pPr>
    </w:p>
    <w:p w14:paraId="6EE84D63" w14:textId="73498FC3" w:rsidR="00D91AE0" w:rsidRDefault="00D91AE0" w:rsidP="00D91AE0">
      <w:pPr>
        <w:pStyle w:val="Rubrik1"/>
      </w:pPr>
      <w:r>
        <w:t xml:space="preserve">Sveriges </w:t>
      </w:r>
      <w:r w:rsidR="00683AB6">
        <w:t>bidrag</w:t>
      </w:r>
      <w:r>
        <w:t xml:space="preserve"> till FN</w:t>
      </w:r>
    </w:p>
    <w:p w14:paraId="66B1982B" w14:textId="344ECD0C" w:rsidR="000E4165" w:rsidRDefault="001027D6" w:rsidP="00BE0C3D">
      <w:r>
        <w:t>Den största delen av stöd</w:t>
      </w:r>
      <w:r w:rsidR="000E4165">
        <w:t>et</w:t>
      </w:r>
      <w:r>
        <w:t xml:space="preserve"> till FN utgörs inte av</w:t>
      </w:r>
      <w:r w:rsidR="000E4165">
        <w:t xml:space="preserve"> de obligatoriska</w:t>
      </w:r>
      <w:r>
        <w:t xml:space="preserve"> medlemsavgifte</w:t>
      </w:r>
      <w:r w:rsidR="000E4165">
        <w:t>rna</w:t>
      </w:r>
      <w:r>
        <w:t xml:space="preserve"> utan av </w:t>
      </w:r>
      <w:r w:rsidR="000E4165">
        <w:t xml:space="preserve">medel </w:t>
      </w:r>
      <w:r>
        <w:t xml:space="preserve">som medlemsländerna frivilligt väljer att ge. </w:t>
      </w:r>
      <w:r w:rsidR="000E4165">
        <w:t>Det svenska stödet har nästan fördubblats under 2010-talet</w:t>
      </w:r>
      <w:r w:rsidR="00307AD4">
        <w:t>,</w:t>
      </w:r>
      <w:r w:rsidR="00A83351">
        <w:t xml:space="preserve"> f</w:t>
      </w:r>
      <w:r w:rsidR="000E4165">
        <w:t>rån 8,4 miljarder SEK 2011 till 16,7 miljarder SEK 2019</w:t>
      </w:r>
      <w:r w:rsidR="00893BE8">
        <w:t xml:space="preserve"> </w:t>
      </w:r>
      <w:r w:rsidR="00DA25F6">
        <w:t>(se tabell 2)</w:t>
      </w:r>
      <w:r w:rsidR="000E4165">
        <w:t>.</w:t>
      </w:r>
    </w:p>
    <w:p w14:paraId="0773B909" w14:textId="181E8A70" w:rsidR="000E4165" w:rsidRDefault="00BE0C3D" w:rsidP="00BE0C3D">
      <w:r>
        <w:t>Huvuddelen av S</w:t>
      </w:r>
      <w:r w:rsidR="0088533E">
        <w:t>veriges</w:t>
      </w:r>
      <w:r w:rsidR="001027D6">
        <w:t xml:space="preserve"> samlade</w:t>
      </w:r>
      <w:r w:rsidR="0088533E">
        <w:t xml:space="preserve"> stöd till FN räknas som bistånd enligt OECD-DAC:s regelverk. Utrikesdepartementet har delat in stödet i två kategorier, multi-bi</w:t>
      </w:r>
      <w:r w:rsidR="001027D6">
        <w:rPr>
          <w:rStyle w:val="Fotnotsreferens"/>
        </w:rPr>
        <w:footnoteReference w:id="8"/>
      </w:r>
      <w:r w:rsidR="0088533E">
        <w:t xml:space="preserve"> och kärnstöd</w:t>
      </w:r>
      <w:r w:rsidR="001027D6">
        <w:rPr>
          <w:rStyle w:val="Fotnotsreferens"/>
        </w:rPr>
        <w:footnoteReference w:id="9"/>
      </w:r>
      <w:r w:rsidR="0088533E">
        <w:t xml:space="preserve">. </w:t>
      </w:r>
    </w:p>
    <w:p w14:paraId="55505D8D" w14:textId="6CB47740" w:rsidR="00BE0C3D" w:rsidRDefault="0088533E" w:rsidP="00BE0C3D">
      <w:r>
        <w:t xml:space="preserve">Det förekommer också </w:t>
      </w:r>
      <w:r w:rsidR="000E4165">
        <w:t>bidrag</w:t>
      </w:r>
      <w:r>
        <w:t xml:space="preserve"> som inte räknas som bistånd. Detta redovisas som ”</w:t>
      </w:r>
      <w:r w:rsidR="00BE0C3D">
        <w:t>Ej bistånd</w:t>
      </w:r>
      <w:r>
        <w:t xml:space="preserve">” i tabell </w:t>
      </w:r>
      <w:r w:rsidR="00307AD4">
        <w:t>2</w:t>
      </w:r>
      <w:r>
        <w:t xml:space="preserve">. Dessa </w:t>
      </w:r>
      <w:r w:rsidR="00307AD4">
        <w:t xml:space="preserve">medel avser till största delen bidrag till </w:t>
      </w:r>
      <w:r>
        <w:t>fredsbevarande insatser, främst FN:s insats i Mali, M</w:t>
      </w:r>
      <w:r w:rsidR="00307AD4">
        <w:t>inusma</w:t>
      </w:r>
      <w:r w:rsidR="00884681">
        <w:t xml:space="preserve"> </w:t>
      </w:r>
      <w:r>
        <w:t xml:space="preserve">(se </w:t>
      </w:r>
      <w:r w:rsidR="00DA25F6">
        <w:t>vidare nedan</w:t>
      </w:r>
      <w:r>
        <w:t>).</w:t>
      </w:r>
    </w:p>
    <w:p w14:paraId="52763B9C" w14:textId="1CD99FB3" w:rsidR="00FC3C12" w:rsidRDefault="00FC3C12" w:rsidP="00BE0C3D"/>
    <w:p w14:paraId="63D04934" w14:textId="48952C0D" w:rsidR="00FC3C12" w:rsidRDefault="00FC3C12" w:rsidP="00BE0C3D"/>
    <w:p w14:paraId="1DC7D899" w14:textId="2FD1C036" w:rsidR="00FC3C12" w:rsidRDefault="00FC3C12" w:rsidP="00BE0C3D"/>
    <w:p w14:paraId="1CC79F67" w14:textId="77777777" w:rsidR="000A7FFD" w:rsidRDefault="000A7FFD" w:rsidP="00BE0C3D"/>
    <w:p w14:paraId="590FDA89" w14:textId="77777777" w:rsidR="00FC3C12" w:rsidRPr="00BE0C3D" w:rsidRDefault="00FC3C12" w:rsidP="00BE0C3D"/>
    <w:tbl>
      <w:tblPr>
        <w:tblW w:w="7911" w:type="dxa"/>
        <w:tblCellMar>
          <w:left w:w="70" w:type="dxa"/>
          <w:right w:w="70" w:type="dxa"/>
        </w:tblCellMar>
        <w:tblLook w:val="04A0" w:firstRow="1" w:lastRow="0" w:firstColumn="1" w:lastColumn="0" w:noHBand="0" w:noVBand="1"/>
      </w:tblPr>
      <w:tblGrid>
        <w:gridCol w:w="1843"/>
        <w:gridCol w:w="540"/>
        <w:gridCol w:w="708"/>
        <w:gridCol w:w="709"/>
        <w:gridCol w:w="709"/>
        <w:gridCol w:w="709"/>
        <w:gridCol w:w="708"/>
        <w:gridCol w:w="709"/>
        <w:gridCol w:w="709"/>
        <w:gridCol w:w="709"/>
      </w:tblGrid>
      <w:tr w:rsidR="007B5614" w:rsidRPr="007E6746" w14:paraId="06F3D85B" w14:textId="77777777" w:rsidTr="00117B2C">
        <w:trPr>
          <w:trHeight w:val="342"/>
        </w:trPr>
        <w:tc>
          <w:tcPr>
            <w:tcW w:w="7911" w:type="dxa"/>
            <w:gridSpan w:val="10"/>
            <w:tcBorders>
              <w:top w:val="nil"/>
              <w:left w:val="nil"/>
              <w:bottom w:val="nil"/>
              <w:right w:val="nil"/>
            </w:tcBorders>
            <w:shd w:val="clear" w:color="auto" w:fill="auto"/>
            <w:noWrap/>
            <w:vAlign w:val="bottom"/>
          </w:tcPr>
          <w:p w14:paraId="078EA8F1" w14:textId="0E374BD5" w:rsidR="007B5614" w:rsidRPr="00884681" w:rsidRDefault="007B5614" w:rsidP="00761833">
            <w:pPr>
              <w:tabs>
                <w:tab w:val="clear" w:pos="284"/>
              </w:tabs>
              <w:spacing w:after="0" w:line="240" w:lineRule="auto"/>
              <w:rPr>
                <w:b/>
                <w:i/>
              </w:rPr>
            </w:pPr>
            <w:r w:rsidRPr="00884681">
              <w:rPr>
                <w:b/>
                <w:i/>
              </w:rPr>
              <w:lastRenderedPageBreak/>
              <w:t xml:space="preserve">Tabell </w:t>
            </w:r>
            <w:r w:rsidR="001027D6" w:rsidRPr="00884681">
              <w:rPr>
                <w:b/>
                <w:i/>
              </w:rPr>
              <w:t>2</w:t>
            </w:r>
            <w:r w:rsidR="00F37669" w:rsidRPr="00884681">
              <w:rPr>
                <w:b/>
                <w:i/>
              </w:rPr>
              <w:t>:</w:t>
            </w:r>
            <w:r w:rsidRPr="00884681">
              <w:rPr>
                <w:b/>
                <w:i/>
              </w:rPr>
              <w:t xml:space="preserve"> Svenska bidrag</w:t>
            </w:r>
            <w:r w:rsidR="00683AB6" w:rsidRPr="00884681">
              <w:rPr>
                <w:b/>
                <w:i/>
              </w:rPr>
              <w:t>et</w:t>
            </w:r>
            <w:r w:rsidRPr="00884681">
              <w:rPr>
                <w:b/>
                <w:i/>
              </w:rPr>
              <w:t xml:space="preserve"> till FN, </w:t>
            </w:r>
            <w:r w:rsidR="00F37669" w:rsidRPr="00884681">
              <w:rPr>
                <w:b/>
                <w:i/>
              </w:rPr>
              <w:t>2011–2019</w:t>
            </w:r>
            <w:r w:rsidR="005B3086">
              <w:rPr>
                <w:b/>
                <w:i/>
              </w:rPr>
              <w:t xml:space="preserve"> (m</w:t>
            </w:r>
            <w:r w:rsidRPr="00884681">
              <w:rPr>
                <w:b/>
                <w:i/>
              </w:rPr>
              <w:t>nkr</w:t>
            </w:r>
            <w:r w:rsidR="005B3086">
              <w:rPr>
                <w:b/>
                <w:i/>
              </w:rPr>
              <w:t>)</w:t>
            </w:r>
          </w:p>
        </w:tc>
      </w:tr>
      <w:tr w:rsidR="007B5614" w:rsidRPr="00740191" w14:paraId="02E2C6A8" w14:textId="77777777" w:rsidTr="00117B2C">
        <w:trPr>
          <w:trHeight w:val="342"/>
        </w:trPr>
        <w:tc>
          <w:tcPr>
            <w:tcW w:w="1843" w:type="dxa"/>
            <w:tcBorders>
              <w:top w:val="single" w:sz="4" w:space="0" w:color="auto"/>
              <w:left w:val="nil"/>
              <w:bottom w:val="single" w:sz="4" w:space="0" w:color="auto"/>
              <w:right w:val="nil"/>
            </w:tcBorders>
            <w:shd w:val="clear" w:color="auto" w:fill="auto"/>
            <w:noWrap/>
            <w:vAlign w:val="bottom"/>
            <w:hideMark/>
          </w:tcPr>
          <w:p w14:paraId="53BFD461" w14:textId="77777777" w:rsidR="007B5614" w:rsidRPr="00740191" w:rsidRDefault="007B5614" w:rsidP="00761833">
            <w:pPr>
              <w:tabs>
                <w:tab w:val="clear" w:pos="284"/>
              </w:tabs>
              <w:spacing w:after="0" w:line="240" w:lineRule="auto"/>
              <w:rPr>
                <w:sz w:val="20"/>
                <w:szCs w:val="20"/>
              </w:rPr>
            </w:pPr>
            <w:r w:rsidRPr="00740191">
              <w:rPr>
                <w:sz w:val="20"/>
                <w:szCs w:val="20"/>
              </w:rPr>
              <w:t> </w:t>
            </w:r>
          </w:p>
        </w:tc>
        <w:tc>
          <w:tcPr>
            <w:tcW w:w="398" w:type="dxa"/>
            <w:tcBorders>
              <w:top w:val="single" w:sz="4" w:space="0" w:color="auto"/>
              <w:left w:val="nil"/>
              <w:bottom w:val="single" w:sz="4" w:space="0" w:color="auto"/>
              <w:right w:val="nil"/>
            </w:tcBorders>
            <w:shd w:val="clear" w:color="auto" w:fill="auto"/>
            <w:noWrap/>
            <w:vAlign w:val="bottom"/>
            <w:hideMark/>
          </w:tcPr>
          <w:p w14:paraId="0143655C"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2011</w:t>
            </w:r>
          </w:p>
        </w:tc>
        <w:tc>
          <w:tcPr>
            <w:tcW w:w="708" w:type="dxa"/>
            <w:tcBorders>
              <w:top w:val="single" w:sz="4" w:space="0" w:color="auto"/>
              <w:left w:val="nil"/>
              <w:bottom w:val="single" w:sz="4" w:space="0" w:color="auto"/>
              <w:right w:val="nil"/>
            </w:tcBorders>
            <w:shd w:val="clear" w:color="auto" w:fill="auto"/>
            <w:noWrap/>
            <w:vAlign w:val="bottom"/>
            <w:hideMark/>
          </w:tcPr>
          <w:p w14:paraId="11941EEA"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2012</w:t>
            </w:r>
          </w:p>
        </w:tc>
        <w:tc>
          <w:tcPr>
            <w:tcW w:w="709" w:type="dxa"/>
            <w:tcBorders>
              <w:top w:val="single" w:sz="4" w:space="0" w:color="auto"/>
              <w:left w:val="nil"/>
              <w:bottom w:val="single" w:sz="4" w:space="0" w:color="auto"/>
              <w:right w:val="nil"/>
            </w:tcBorders>
            <w:shd w:val="clear" w:color="auto" w:fill="auto"/>
            <w:noWrap/>
            <w:vAlign w:val="bottom"/>
            <w:hideMark/>
          </w:tcPr>
          <w:p w14:paraId="7A72BC17"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2013</w:t>
            </w:r>
          </w:p>
        </w:tc>
        <w:tc>
          <w:tcPr>
            <w:tcW w:w="709" w:type="dxa"/>
            <w:tcBorders>
              <w:top w:val="single" w:sz="4" w:space="0" w:color="auto"/>
              <w:left w:val="nil"/>
              <w:bottom w:val="single" w:sz="4" w:space="0" w:color="auto"/>
              <w:right w:val="nil"/>
            </w:tcBorders>
            <w:shd w:val="clear" w:color="auto" w:fill="auto"/>
            <w:noWrap/>
            <w:vAlign w:val="bottom"/>
            <w:hideMark/>
          </w:tcPr>
          <w:p w14:paraId="1EA6B5D5"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2014</w:t>
            </w:r>
          </w:p>
        </w:tc>
        <w:tc>
          <w:tcPr>
            <w:tcW w:w="709" w:type="dxa"/>
            <w:tcBorders>
              <w:top w:val="single" w:sz="4" w:space="0" w:color="auto"/>
              <w:left w:val="nil"/>
              <w:bottom w:val="single" w:sz="4" w:space="0" w:color="auto"/>
              <w:right w:val="nil"/>
            </w:tcBorders>
            <w:shd w:val="clear" w:color="auto" w:fill="auto"/>
            <w:noWrap/>
            <w:vAlign w:val="bottom"/>
            <w:hideMark/>
          </w:tcPr>
          <w:p w14:paraId="7C9A64CC"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2015</w:t>
            </w:r>
          </w:p>
        </w:tc>
        <w:tc>
          <w:tcPr>
            <w:tcW w:w="708" w:type="dxa"/>
            <w:tcBorders>
              <w:top w:val="single" w:sz="4" w:space="0" w:color="auto"/>
              <w:left w:val="nil"/>
              <w:bottom w:val="single" w:sz="4" w:space="0" w:color="auto"/>
              <w:right w:val="nil"/>
            </w:tcBorders>
            <w:shd w:val="clear" w:color="auto" w:fill="auto"/>
            <w:noWrap/>
            <w:vAlign w:val="bottom"/>
            <w:hideMark/>
          </w:tcPr>
          <w:p w14:paraId="4A19DDB2"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2016</w:t>
            </w:r>
          </w:p>
        </w:tc>
        <w:tc>
          <w:tcPr>
            <w:tcW w:w="709" w:type="dxa"/>
            <w:tcBorders>
              <w:top w:val="single" w:sz="4" w:space="0" w:color="auto"/>
              <w:left w:val="nil"/>
              <w:bottom w:val="single" w:sz="4" w:space="0" w:color="auto"/>
              <w:right w:val="nil"/>
            </w:tcBorders>
            <w:shd w:val="clear" w:color="auto" w:fill="auto"/>
            <w:noWrap/>
            <w:vAlign w:val="bottom"/>
            <w:hideMark/>
          </w:tcPr>
          <w:p w14:paraId="5D5ACB9B"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2017</w:t>
            </w:r>
          </w:p>
        </w:tc>
        <w:tc>
          <w:tcPr>
            <w:tcW w:w="709" w:type="dxa"/>
            <w:tcBorders>
              <w:top w:val="single" w:sz="4" w:space="0" w:color="auto"/>
              <w:left w:val="nil"/>
              <w:bottom w:val="single" w:sz="4" w:space="0" w:color="auto"/>
              <w:right w:val="nil"/>
            </w:tcBorders>
            <w:shd w:val="clear" w:color="auto" w:fill="auto"/>
            <w:noWrap/>
            <w:vAlign w:val="bottom"/>
            <w:hideMark/>
          </w:tcPr>
          <w:p w14:paraId="7F41E042"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2018</w:t>
            </w:r>
          </w:p>
        </w:tc>
        <w:tc>
          <w:tcPr>
            <w:tcW w:w="709" w:type="dxa"/>
            <w:tcBorders>
              <w:top w:val="single" w:sz="4" w:space="0" w:color="auto"/>
              <w:left w:val="nil"/>
              <w:bottom w:val="single" w:sz="4" w:space="0" w:color="auto"/>
              <w:right w:val="nil"/>
            </w:tcBorders>
            <w:shd w:val="clear" w:color="auto" w:fill="auto"/>
            <w:noWrap/>
            <w:vAlign w:val="bottom"/>
            <w:hideMark/>
          </w:tcPr>
          <w:p w14:paraId="1D4533D9" w14:textId="50184915" w:rsidR="007B5614" w:rsidRPr="00740191" w:rsidRDefault="007B5614" w:rsidP="00761833">
            <w:pPr>
              <w:tabs>
                <w:tab w:val="clear" w:pos="284"/>
              </w:tabs>
              <w:spacing w:after="0" w:line="240" w:lineRule="auto"/>
              <w:jc w:val="right"/>
              <w:rPr>
                <w:b/>
                <w:bCs/>
                <w:sz w:val="20"/>
                <w:szCs w:val="20"/>
              </w:rPr>
            </w:pPr>
            <w:r w:rsidRPr="00740191">
              <w:rPr>
                <w:b/>
                <w:bCs/>
                <w:sz w:val="20"/>
                <w:szCs w:val="20"/>
              </w:rPr>
              <w:t>2019</w:t>
            </w:r>
            <w:r w:rsidR="00117B2C">
              <w:rPr>
                <w:rStyle w:val="Fotnotsreferens"/>
                <w:b/>
                <w:bCs/>
                <w:sz w:val="20"/>
                <w:szCs w:val="20"/>
              </w:rPr>
              <w:footnoteReference w:id="10"/>
            </w:r>
          </w:p>
        </w:tc>
      </w:tr>
      <w:tr w:rsidR="007B5614" w:rsidRPr="00740191" w14:paraId="20B548B8" w14:textId="77777777" w:rsidTr="00117B2C">
        <w:trPr>
          <w:trHeight w:val="342"/>
        </w:trPr>
        <w:tc>
          <w:tcPr>
            <w:tcW w:w="1843" w:type="dxa"/>
            <w:tcBorders>
              <w:top w:val="nil"/>
              <w:left w:val="nil"/>
              <w:bottom w:val="nil"/>
              <w:right w:val="nil"/>
            </w:tcBorders>
            <w:shd w:val="clear" w:color="auto" w:fill="auto"/>
            <w:noWrap/>
            <w:vAlign w:val="bottom"/>
            <w:hideMark/>
          </w:tcPr>
          <w:p w14:paraId="50EBBEB2" w14:textId="77777777" w:rsidR="007B5614" w:rsidRPr="00740191" w:rsidRDefault="007B5614" w:rsidP="00761833">
            <w:pPr>
              <w:tabs>
                <w:tab w:val="clear" w:pos="284"/>
              </w:tabs>
              <w:spacing w:after="0" w:line="240" w:lineRule="auto"/>
              <w:rPr>
                <w:sz w:val="20"/>
                <w:szCs w:val="20"/>
              </w:rPr>
            </w:pPr>
            <w:r w:rsidRPr="00740191">
              <w:rPr>
                <w:sz w:val="20"/>
                <w:szCs w:val="20"/>
              </w:rPr>
              <w:t>Multi-Bi</w:t>
            </w:r>
          </w:p>
        </w:tc>
        <w:tc>
          <w:tcPr>
            <w:tcW w:w="398" w:type="dxa"/>
            <w:tcBorders>
              <w:top w:val="nil"/>
              <w:left w:val="nil"/>
              <w:bottom w:val="nil"/>
              <w:right w:val="nil"/>
            </w:tcBorders>
            <w:shd w:val="clear" w:color="auto" w:fill="auto"/>
            <w:noWrap/>
            <w:vAlign w:val="bottom"/>
            <w:hideMark/>
          </w:tcPr>
          <w:p w14:paraId="7EFF9E2F"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3161</w:t>
            </w:r>
          </w:p>
        </w:tc>
        <w:tc>
          <w:tcPr>
            <w:tcW w:w="708" w:type="dxa"/>
            <w:tcBorders>
              <w:top w:val="nil"/>
              <w:left w:val="nil"/>
              <w:bottom w:val="nil"/>
              <w:right w:val="nil"/>
            </w:tcBorders>
            <w:shd w:val="clear" w:color="auto" w:fill="auto"/>
            <w:noWrap/>
            <w:vAlign w:val="bottom"/>
            <w:hideMark/>
          </w:tcPr>
          <w:p w14:paraId="2F647B05"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4416</w:t>
            </w:r>
          </w:p>
        </w:tc>
        <w:tc>
          <w:tcPr>
            <w:tcW w:w="709" w:type="dxa"/>
            <w:tcBorders>
              <w:top w:val="nil"/>
              <w:left w:val="nil"/>
              <w:bottom w:val="nil"/>
              <w:right w:val="nil"/>
            </w:tcBorders>
            <w:shd w:val="clear" w:color="auto" w:fill="auto"/>
            <w:noWrap/>
            <w:vAlign w:val="bottom"/>
            <w:hideMark/>
          </w:tcPr>
          <w:p w14:paraId="3CD031BA"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4220</w:t>
            </w:r>
          </w:p>
        </w:tc>
        <w:tc>
          <w:tcPr>
            <w:tcW w:w="709" w:type="dxa"/>
            <w:tcBorders>
              <w:top w:val="nil"/>
              <w:left w:val="nil"/>
              <w:bottom w:val="nil"/>
              <w:right w:val="nil"/>
            </w:tcBorders>
            <w:shd w:val="clear" w:color="auto" w:fill="auto"/>
            <w:noWrap/>
            <w:vAlign w:val="bottom"/>
            <w:hideMark/>
          </w:tcPr>
          <w:p w14:paraId="1A108E48"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5179</w:t>
            </w:r>
          </w:p>
        </w:tc>
        <w:tc>
          <w:tcPr>
            <w:tcW w:w="709" w:type="dxa"/>
            <w:tcBorders>
              <w:top w:val="nil"/>
              <w:left w:val="nil"/>
              <w:bottom w:val="nil"/>
              <w:right w:val="nil"/>
            </w:tcBorders>
            <w:shd w:val="clear" w:color="auto" w:fill="auto"/>
            <w:noWrap/>
            <w:vAlign w:val="bottom"/>
            <w:hideMark/>
          </w:tcPr>
          <w:p w14:paraId="082F0E3E"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4473</w:t>
            </w:r>
          </w:p>
        </w:tc>
        <w:tc>
          <w:tcPr>
            <w:tcW w:w="708" w:type="dxa"/>
            <w:tcBorders>
              <w:top w:val="nil"/>
              <w:left w:val="nil"/>
              <w:bottom w:val="nil"/>
              <w:right w:val="nil"/>
            </w:tcBorders>
            <w:shd w:val="clear" w:color="auto" w:fill="auto"/>
            <w:noWrap/>
            <w:vAlign w:val="bottom"/>
            <w:hideMark/>
          </w:tcPr>
          <w:p w14:paraId="104208D7"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5483</w:t>
            </w:r>
          </w:p>
        </w:tc>
        <w:tc>
          <w:tcPr>
            <w:tcW w:w="709" w:type="dxa"/>
            <w:tcBorders>
              <w:top w:val="nil"/>
              <w:left w:val="nil"/>
              <w:bottom w:val="nil"/>
              <w:right w:val="nil"/>
            </w:tcBorders>
            <w:shd w:val="clear" w:color="auto" w:fill="auto"/>
            <w:noWrap/>
            <w:vAlign w:val="bottom"/>
            <w:hideMark/>
          </w:tcPr>
          <w:p w14:paraId="5059C8F1"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6469</w:t>
            </w:r>
          </w:p>
        </w:tc>
        <w:tc>
          <w:tcPr>
            <w:tcW w:w="709" w:type="dxa"/>
            <w:tcBorders>
              <w:top w:val="nil"/>
              <w:left w:val="nil"/>
              <w:bottom w:val="nil"/>
              <w:right w:val="nil"/>
            </w:tcBorders>
            <w:shd w:val="clear" w:color="auto" w:fill="auto"/>
            <w:noWrap/>
            <w:vAlign w:val="bottom"/>
            <w:hideMark/>
          </w:tcPr>
          <w:p w14:paraId="1F7E9F2B"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8772</w:t>
            </w:r>
          </w:p>
        </w:tc>
        <w:tc>
          <w:tcPr>
            <w:tcW w:w="709" w:type="dxa"/>
            <w:tcBorders>
              <w:top w:val="nil"/>
              <w:left w:val="nil"/>
              <w:bottom w:val="nil"/>
              <w:right w:val="nil"/>
            </w:tcBorders>
            <w:shd w:val="clear" w:color="auto" w:fill="auto"/>
            <w:noWrap/>
            <w:vAlign w:val="bottom"/>
            <w:hideMark/>
          </w:tcPr>
          <w:p w14:paraId="57ACF163"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9154</w:t>
            </w:r>
          </w:p>
        </w:tc>
      </w:tr>
      <w:tr w:rsidR="007B5614" w:rsidRPr="00740191" w14:paraId="3EC91C5A" w14:textId="77777777" w:rsidTr="00117B2C">
        <w:trPr>
          <w:trHeight w:val="342"/>
        </w:trPr>
        <w:tc>
          <w:tcPr>
            <w:tcW w:w="1843" w:type="dxa"/>
            <w:tcBorders>
              <w:top w:val="nil"/>
              <w:left w:val="nil"/>
              <w:bottom w:val="nil"/>
              <w:right w:val="nil"/>
            </w:tcBorders>
            <w:shd w:val="clear" w:color="auto" w:fill="auto"/>
            <w:noWrap/>
            <w:vAlign w:val="bottom"/>
            <w:hideMark/>
          </w:tcPr>
          <w:p w14:paraId="65B387F1" w14:textId="50EAFD63" w:rsidR="007B5614" w:rsidRPr="00740191" w:rsidRDefault="007B5614" w:rsidP="00761833">
            <w:pPr>
              <w:tabs>
                <w:tab w:val="clear" w:pos="284"/>
              </w:tabs>
              <w:spacing w:after="0" w:line="240" w:lineRule="auto"/>
              <w:rPr>
                <w:sz w:val="20"/>
                <w:szCs w:val="20"/>
              </w:rPr>
            </w:pPr>
            <w:r w:rsidRPr="00740191">
              <w:rPr>
                <w:sz w:val="20"/>
                <w:szCs w:val="20"/>
              </w:rPr>
              <w:t>Kärnstöd</w:t>
            </w:r>
            <w:r w:rsidR="00117B2C">
              <w:rPr>
                <w:rStyle w:val="Fotnotsreferens"/>
                <w:sz w:val="20"/>
                <w:szCs w:val="20"/>
              </w:rPr>
              <w:footnoteReference w:id="11"/>
            </w:r>
          </w:p>
        </w:tc>
        <w:tc>
          <w:tcPr>
            <w:tcW w:w="398" w:type="dxa"/>
            <w:tcBorders>
              <w:top w:val="nil"/>
              <w:left w:val="nil"/>
              <w:bottom w:val="nil"/>
              <w:right w:val="nil"/>
            </w:tcBorders>
            <w:shd w:val="clear" w:color="auto" w:fill="auto"/>
            <w:noWrap/>
            <w:vAlign w:val="bottom"/>
            <w:hideMark/>
          </w:tcPr>
          <w:p w14:paraId="3373253C"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4461</w:t>
            </w:r>
          </w:p>
        </w:tc>
        <w:tc>
          <w:tcPr>
            <w:tcW w:w="708" w:type="dxa"/>
            <w:tcBorders>
              <w:top w:val="nil"/>
              <w:left w:val="nil"/>
              <w:bottom w:val="nil"/>
              <w:right w:val="nil"/>
            </w:tcBorders>
            <w:shd w:val="clear" w:color="auto" w:fill="auto"/>
            <w:noWrap/>
            <w:vAlign w:val="bottom"/>
            <w:hideMark/>
          </w:tcPr>
          <w:p w14:paraId="63682BDD"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4398</w:t>
            </w:r>
          </w:p>
        </w:tc>
        <w:tc>
          <w:tcPr>
            <w:tcW w:w="709" w:type="dxa"/>
            <w:tcBorders>
              <w:top w:val="nil"/>
              <w:left w:val="nil"/>
              <w:bottom w:val="nil"/>
              <w:right w:val="nil"/>
            </w:tcBorders>
            <w:shd w:val="clear" w:color="auto" w:fill="auto"/>
            <w:noWrap/>
            <w:vAlign w:val="bottom"/>
            <w:hideMark/>
          </w:tcPr>
          <w:p w14:paraId="2E67988D"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4912</w:t>
            </w:r>
          </w:p>
        </w:tc>
        <w:tc>
          <w:tcPr>
            <w:tcW w:w="709" w:type="dxa"/>
            <w:tcBorders>
              <w:top w:val="nil"/>
              <w:left w:val="nil"/>
              <w:bottom w:val="nil"/>
              <w:right w:val="nil"/>
            </w:tcBorders>
            <w:shd w:val="clear" w:color="auto" w:fill="auto"/>
            <w:noWrap/>
            <w:vAlign w:val="bottom"/>
            <w:hideMark/>
          </w:tcPr>
          <w:p w14:paraId="575415D7"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4298</w:t>
            </w:r>
          </w:p>
        </w:tc>
        <w:tc>
          <w:tcPr>
            <w:tcW w:w="709" w:type="dxa"/>
            <w:tcBorders>
              <w:top w:val="nil"/>
              <w:left w:val="nil"/>
              <w:bottom w:val="nil"/>
              <w:right w:val="nil"/>
            </w:tcBorders>
            <w:shd w:val="clear" w:color="auto" w:fill="auto"/>
            <w:noWrap/>
            <w:vAlign w:val="bottom"/>
            <w:hideMark/>
          </w:tcPr>
          <w:p w14:paraId="4FD6B0EC"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6498</w:t>
            </w:r>
          </w:p>
        </w:tc>
        <w:tc>
          <w:tcPr>
            <w:tcW w:w="708" w:type="dxa"/>
            <w:tcBorders>
              <w:top w:val="nil"/>
              <w:left w:val="nil"/>
              <w:bottom w:val="nil"/>
              <w:right w:val="nil"/>
            </w:tcBorders>
            <w:shd w:val="clear" w:color="auto" w:fill="auto"/>
            <w:noWrap/>
            <w:vAlign w:val="bottom"/>
            <w:hideMark/>
          </w:tcPr>
          <w:p w14:paraId="7A4E2313"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4216</w:t>
            </w:r>
          </w:p>
        </w:tc>
        <w:tc>
          <w:tcPr>
            <w:tcW w:w="709" w:type="dxa"/>
            <w:tcBorders>
              <w:top w:val="nil"/>
              <w:left w:val="nil"/>
              <w:bottom w:val="nil"/>
              <w:right w:val="nil"/>
            </w:tcBorders>
            <w:shd w:val="clear" w:color="auto" w:fill="auto"/>
            <w:noWrap/>
            <w:vAlign w:val="bottom"/>
            <w:hideMark/>
          </w:tcPr>
          <w:p w14:paraId="22A48BD6"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5731</w:t>
            </w:r>
          </w:p>
        </w:tc>
        <w:tc>
          <w:tcPr>
            <w:tcW w:w="709" w:type="dxa"/>
            <w:tcBorders>
              <w:top w:val="nil"/>
              <w:left w:val="nil"/>
              <w:bottom w:val="nil"/>
              <w:right w:val="nil"/>
            </w:tcBorders>
            <w:shd w:val="clear" w:color="auto" w:fill="auto"/>
            <w:noWrap/>
            <w:vAlign w:val="bottom"/>
            <w:hideMark/>
          </w:tcPr>
          <w:p w14:paraId="1D955501"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7210</w:t>
            </w:r>
          </w:p>
        </w:tc>
        <w:tc>
          <w:tcPr>
            <w:tcW w:w="709" w:type="dxa"/>
            <w:tcBorders>
              <w:top w:val="nil"/>
              <w:left w:val="nil"/>
              <w:bottom w:val="nil"/>
              <w:right w:val="nil"/>
            </w:tcBorders>
            <w:shd w:val="clear" w:color="auto" w:fill="auto"/>
            <w:noWrap/>
            <w:vAlign w:val="bottom"/>
            <w:hideMark/>
          </w:tcPr>
          <w:p w14:paraId="04EACD0D" w14:textId="77777777" w:rsidR="007B5614" w:rsidRPr="00740191" w:rsidRDefault="007B5614" w:rsidP="00761833">
            <w:pPr>
              <w:tabs>
                <w:tab w:val="clear" w:pos="284"/>
              </w:tabs>
              <w:spacing w:after="0" w:line="240" w:lineRule="auto"/>
              <w:jc w:val="right"/>
              <w:rPr>
                <w:color w:val="000000"/>
                <w:sz w:val="20"/>
                <w:szCs w:val="20"/>
              </w:rPr>
            </w:pPr>
            <w:r w:rsidRPr="00740191">
              <w:rPr>
                <w:color w:val="000000"/>
                <w:sz w:val="20"/>
                <w:szCs w:val="20"/>
              </w:rPr>
              <w:t>6637</w:t>
            </w:r>
          </w:p>
        </w:tc>
      </w:tr>
      <w:tr w:rsidR="007B5614" w:rsidRPr="00740191" w14:paraId="287C5CAB" w14:textId="77777777" w:rsidTr="00117B2C">
        <w:trPr>
          <w:trHeight w:val="342"/>
        </w:trPr>
        <w:tc>
          <w:tcPr>
            <w:tcW w:w="1843" w:type="dxa"/>
            <w:tcBorders>
              <w:top w:val="nil"/>
              <w:left w:val="nil"/>
              <w:bottom w:val="nil"/>
              <w:right w:val="nil"/>
            </w:tcBorders>
            <w:shd w:val="clear" w:color="auto" w:fill="auto"/>
            <w:noWrap/>
            <w:vAlign w:val="bottom"/>
            <w:hideMark/>
          </w:tcPr>
          <w:p w14:paraId="44517E1D" w14:textId="77777777" w:rsidR="007B5614" w:rsidRPr="007C5296" w:rsidRDefault="007B5614" w:rsidP="00761833">
            <w:pPr>
              <w:tabs>
                <w:tab w:val="clear" w:pos="284"/>
              </w:tabs>
              <w:spacing w:after="0" w:line="240" w:lineRule="auto"/>
              <w:rPr>
                <w:bCs/>
                <w:i/>
                <w:iCs/>
                <w:sz w:val="20"/>
                <w:szCs w:val="20"/>
              </w:rPr>
            </w:pPr>
            <w:r w:rsidRPr="007C5296">
              <w:rPr>
                <w:bCs/>
                <w:i/>
                <w:iCs/>
                <w:sz w:val="20"/>
                <w:szCs w:val="20"/>
              </w:rPr>
              <w:t>Totalt bistånd</w:t>
            </w:r>
          </w:p>
        </w:tc>
        <w:tc>
          <w:tcPr>
            <w:tcW w:w="398" w:type="dxa"/>
            <w:tcBorders>
              <w:top w:val="nil"/>
              <w:left w:val="nil"/>
              <w:bottom w:val="nil"/>
              <w:right w:val="nil"/>
            </w:tcBorders>
            <w:shd w:val="clear" w:color="auto" w:fill="auto"/>
            <w:noWrap/>
            <w:vAlign w:val="bottom"/>
            <w:hideMark/>
          </w:tcPr>
          <w:p w14:paraId="055FFB13" w14:textId="77777777" w:rsidR="007B5614" w:rsidRPr="007C5296" w:rsidRDefault="007B5614" w:rsidP="00761833">
            <w:pPr>
              <w:tabs>
                <w:tab w:val="clear" w:pos="284"/>
              </w:tabs>
              <w:spacing w:after="0" w:line="240" w:lineRule="auto"/>
              <w:jc w:val="right"/>
              <w:rPr>
                <w:bCs/>
                <w:i/>
                <w:iCs/>
                <w:sz w:val="20"/>
                <w:szCs w:val="20"/>
              </w:rPr>
            </w:pPr>
            <w:r w:rsidRPr="007C5296">
              <w:rPr>
                <w:bCs/>
                <w:i/>
                <w:iCs/>
                <w:sz w:val="20"/>
                <w:szCs w:val="20"/>
              </w:rPr>
              <w:t>7622</w:t>
            </w:r>
          </w:p>
        </w:tc>
        <w:tc>
          <w:tcPr>
            <w:tcW w:w="708" w:type="dxa"/>
            <w:tcBorders>
              <w:top w:val="nil"/>
              <w:left w:val="nil"/>
              <w:bottom w:val="nil"/>
              <w:right w:val="nil"/>
            </w:tcBorders>
            <w:shd w:val="clear" w:color="auto" w:fill="auto"/>
            <w:noWrap/>
            <w:vAlign w:val="bottom"/>
            <w:hideMark/>
          </w:tcPr>
          <w:p w14:paraId="4E2FC7E4" w14:textId="77777777" w:rsidR="007B5614" w:rsidRPr="007C5296" w:rsidRDefault="007B5614" w:rsidP="00761833">
            <w:pPr>
              <w:tabs>
                <w:tab w:val="clear" w:pos="284"/>
              </w:tabs>
              <w:spacing w:after="0" w:line="240" w:lineRule="auto"/>
              <w:jc w:val="right"/>
              <w:rPr>
                <w:bCs/>
                <w:i/>
                <w:iCs/>
                <w:sz w:val="20"/>
                <w:szCs w:val="20"/>
              </w:rPr>
            </w:pPr>
            <w:r w:rsidRPr="007C5296">
              <w:rPr>
                <w:bCs/>
                <w:i/>
                <w:iCs/>
                <w:sz w:val="20"/>
                <w:szCs w:val="20"/>
              </w:rPr>
              <w:t>8814</w:t>
            </w:r>
          </w:p>
        </w:tc>
        <w:tc>
          <w:tcPr>
            <w:tcW w:w="709" w:type="dxa"/>
            <w:tcBorders>
              <w:top w:val="nil"/>
              <w:left w:val="nil"/>
              <w:bottom w:val="nil"/>
              <w:right w:val="nil"/>
            </w:tcBorders>
            <w:shd w:val="clear" w:color="auto" w:fill="auto"/>
            <w:noWrap/>
            <w:vAlign w:val="bottom"/>
            <w:hideMark/>
          </w:tcPr>
          <w:p w14:paraId="1A145451" w14:textId="77777777" w:rsidR="007B5614" w:rsidRPr="007C5296" w:rsidRDefault="007B5614" w:rsidP="00761833">
            <w:pPr>
              <w:tabs>
                <w:tab w:val="clear" w:pos="284"/>
              </w:tabs>
              <w:spacing w:after="0" w:line="240" w:lineRule="auto"/>
              <w:jc w:val="right"/>
              <w:rPr>
                <w:bCs/>
                <w:i/>
                <w:iCs/>
                <w:sz w:val="20"/>
                <w:szCs w:val="20"/>
              </w:rPr>
            </w:pPr>
            <w:r w:rsidRPr="007C5296">
              <w:rPr>
                <w:bCs/>
                <w:i/>
                <w:iCs/>
                <w:sz w:val="20"/>
                <w:szCs w:val="20"/>
              </w:rPr>
              <w:t>9132</w:t>
            </w:r>
          </w:p>
        </w:tc>
        <w:tc>
          <w:tcPr>
            <w:tcW w:w="709" w:type="dxa"/>
            <w:tcBorders>
              <w:top w:val="nil"/>
              <w:left w:val="nil"/>
              <w:bottom w:val="nil"/>
              <w:right w:val="nil"/>
            </w:tcBorders>
            <w:shd w:val="clear" w:color="auto" w:fill="auto"/>
            <w:noWrap/>
            <w:vAlign w:val="bottom"/>
            <w:hideMark/>
          </w:tcPr>
          <w:p w14:paraId="18F35CC7" w14:textId="77777777" w:rsidR="007B5614" w:rsidRPr="007C5296" w:rsidRDefault="007B5614" w:rsidP="00761833">
            <w:pPr>
              <w:tabs>
                <w:tab w:val="clear" w:pos="284"/>
              </w:tabs>
              <w:spacing w:after="0" w:line="240" w:lineRule="auto"/>
              <w:jc w:val="right"/>
              <w:rPr>
                <w:bCs/>
                <w:i/>
                <w:iCs/>
                <w:sz w:val="20"/>
                <w:szCs w:val="20"/>
              </w:rPr>
            </w:pPr>
            <w:r w:rsidRPr="007C5296">
              <w:rPr>
                <w:bCs/>
                <w:i/>
                <w:iCs/>
                <w:sz w:val="20"/>
                <w:szCs w:val="20"/>
              </w:rPr>
              <w:t>9477</w:t>
            </w:r>
          </w:p>
        </w:tc>
        <w:tc>
          <w:tcPr>
            <w:tcW w:w="709" w:type="dxa"/>
            <w:tcBorders>
              <w:top w:val="nil"/>
              <w:left w:val="nil"/>
              <w:bottom w:val="nil"/>
              <w:right w:val="nil"/>
            </w:tcBorders>
            <w:shd w:val="clear" w:color="auto" w:fill="auto"/>
            <w:noWrap/>
            <w:vAlign w:val="bottom"/>
            <w:hideMark/>
          </w:tcPr>
          <w:p w14:paraId="4B3AFE5B" w14:textId="77777777" w:rsidR="007B5614" w:rsidRPr="007C5296" w:rsidRDefault="007B5614" w:rsidP="00761833">
            <w:pPr>
              <w:tabs>
                <w:tab w:val="clear" w:pos="284"/>
              </w:tabs>
              <w:spacing w:after="0" w:line="240" w:lineRule="auto"/>
              <w:jc w:val="right"/>
              <w:rPr>
                <w:bCs/>
                <w:i/>
                <w:iCs/>
                <w:sz w:val="20"/>
                <w:szCs w:val="20"/>
              </w:rPr>
            </w:pPr>
            <w:r w:rsidRPr="007C5296">
              <w:rPr>
                <w:bCs/>
                <w:i/>
                <w:iCs/>
                <w:sz w:val="20"/>
                <w:szCs w:val="20"/>
              </w:rPr>
              <w:t>10 972</w:t>
            </w:r>
          </w:p>
        </w:tc>
        <w:tc>
          <w:tcPr>
            <w:tcW w:w="708" w:type="dxa"/>
            <w:tcBorders>
              <w:top w:val="nil"/>
              <w:left w:val="nil"/>
              <w:bottom w:val="nil"/>
              <w:right w:val="nil"/>
            </w:tcBorders>
            <w:shd w:val="clear" w:color="auto" w:fill="auto"/>
            <w:noWrap/>
            <w:vAlign w:val="bottom"/>
            <w:hideMark/>
          </w:tcPr>
          <w:p w14:paraId="313CCE83" w14:textId="77777777" w:rsidR="007B5614" w:rsidRPr="007C5296" w:rsidRDefault="007B5614" w:rsidP="00761833">
            <w:pPr>
              <w:tabs>
                <w:tab w:val="clear" w:pos="284"/>
              </w:tabs>
              <w:spacing w:after="0" w:line="240" w:lineRule="auto"/>
              <w:jc w:val="right"/>
              <w:rPr>
                <w:bCs/>
                <w:i/>
                <w:iCs/>
                <w:sz w:val="20"/>
                <w:szCs w:val="20"/>
              </w:rPr>
            </w:pPr>
            <w:r w:rsidRPr="007C5296">
              <w:rPr>
                <w:bCs/>
                <w:i/>
                <w:iCs/>
                <w:sz w:val="20"/>
                <w:szCs w:val="20"/>
              </w:rPr>
              <w:t>9699</w:t>
            </w:r>
          </w:p>
        </w:tc>
        <w:tc>
          <w:tcPr>
            <w:tcW w:w="709" w:type="dxa"/>
            <w:tcBorders>
              <w:top w:val="nil"/>
              <w:left w:val="nil"/>
              <w:bottom w:val="nil"/>
              <w:right w:val="nil"/>
            </w:tcBorders>
            <w:shd w:val="clear" w:color="auto" w:fill="auto"/>
            <w:noWrap/>
            <w:vAlign w:val="bottom"/>
            <w:hideMark/>
          </w:tcPr>
          <w:p w14:paraId="04CB4F2F" w14:textId="77777777" w:rsidR="007B5614" w:rsidRPr="007C5296" w:rsidRDefault="007B5614" w:rsidP="00761833">
            <w:pPr>
              <w:tabs>
                <w:tab w:val="clear" w:pos="284"/>
              </w:tabs>
              <w:spacing w:after="0" w:line="240" w:lineRule="auto"/>
              <w:jc w:val="right"/>
              <w:rPr>
                <w:bCs/>
                <w:i/>
                <w:iCs/>
                <w:sz w:val="20"/>
                <w:szCs w:val="20"/>
              </w:rPr>
            </w:pPr>
            <w:r w:rsidRPr="007C5296">
              <w:rPr>
                <w:bCs/>
                <w:i/>
                <w:iCs/>
                <w:sz w:val="20"/>
                <w:szCs w:val="20"/>
              </w:rPr>
              <w:t>12 200</w:t>
            </w:r>
          </w:p>
        </w:tc>
        <w:tc>
          <w:tcPr>
            <w:tcW w:w="709" w:type="dxa"/>
            <w:tcBorders>
              <w:top w:val="nil"/>
              <w:left w:val="nil"/>
              <w:bottom w:val="nil"/>
              <w:right w:val="nil"/>
            </w:tcBorders>
            <w:shd w:val="clear" w:color="auto" w:fill="auto"/>
            <w:noWrap/>
            <w:vAlign w:val="bottom"/>
            <w:hideMark/>
          </w:tcPr>
          <w:p w14:paraId="06A97E84" w14:textId="77777777" w:rsidR="007B5614" w:rsidRPr="007C5296" w:rsidRDefault="007B5614" w:rsidP="00761833">
            <w:pPr>
              <w:tabs>
                <w:tab w:val="clear" w:pos="284"/>
              </w:tabs>
              <w:spacing w:after="0" w:line="240" w:lineRule="auto"/>
              <w:jc w:val="right"/>
              <w:rPr>
                <w:bCs/>
                <w:i/>
                <w:iCs/>
                <w:sz w:val="20"/>
                <w:szCs w:val="20"/>
              </w:rPr>
            </w:pPr>
            <w:r w:rsidRPr="007C5296">
              <w:rPr>
                <w:bCs/>
                <w:i/>
                <w:iCs/>
                <w:sz w:val="20"/>
                <w:szCs w:val="20"/>
              </w:rPr>
              <w:t>15 982</w:t>
            </w:r>
          </w:p>
        </w:tc>
        <w:tc>
          <w:tcPr>
            <w:tcW w:w="709" w:type="dxa"/>
            <w:tcBorders>
              <w:top w:val="nil"/>
              <w:left w:val="nil"/>
              <w:bottom w:val="nil"/>
              <w:right w:val="nil"/>
            </w:tcBorders>
            <w:shd w:val="clear" w:color="auto" w:fill="auto"/>
            <w:noWrap/>
            <w:vAlign w:val="bottom"/>
            <w:hideMark/>
          </w:tcPr>
          <w:p w14:paraId="2F674986" w14:textId="77777777" w:rsidR="007B5614" w:rsidRPr="007C5296" w:rsidRDefault="007B5614" w:rsidP="00761833">
            <w:pPr>
              <w:tabs>
                <w:tab w:val="clear" w:pos="284"/>
              </w:tabs>
              <w:spacing w:after="0" w:line="240" w:lineRule="auto"/>
              <w:jc w:val="right"/>
              <w:rPr>
                <w:bCs/>
                <w:i/>
                <w:iCs/>
                <w:sz w:val="20"/>
                <w:szCs w:val="20"/>
              </w:rPr>
            </w:pPr>
            <w:r w:rsidRPr="007C5296">
              <w:rPr>
                <w:bCs/>
                <w:i/>
                <w:iCs/>
                <w:sz w:val="20"/>
                <w:szCs w:val="20"/>
              </w:rPr>
              <w:t>15 790</w:t>
            </w:r>
          </w:p>
        </w:tc>
      </w:tr>
      <w:tr w:rsidR="007B5614" w:rsidRPr="00740191" w14:paraId="7B51F2CE" w14:textId="77777777" w:rsidTr="00117B2C">
        <w:trPr>
          <w:trHeight w:val="342"/>
        </w:trPr>
        <w:tc>
          <w:tcPr>
            <w:tcW w:w="1843" w:type="dxa"/>
            <w:tcBorders>
              <w:top w:val="nil"/>
              <w:left w:val="nil"/>
              <w:right w:val="nil"/>
            </w:tcBorders>
            <w:shd w:val="clear" w:color="auto" w:fill="auto"/>
            <w:noWrap/>
            <w:vAlign w:val="bottom"/>
            <w:hideMark/>
          </w:tcPr>
          <w:p w14:paraId="45FBCE6F" w14:textId="3CECD105" w:rsidR="007B5614" w:rsidRPr="00740191" w:rsidRDefault="007B5614" w:rsidP="00761833">
            <w:pPr>
              <w:tabs>
                <w:tab w:val="clear" w:pos="284"/>
              </w:tabs>
              <w:spacing w:after="0" w:line="240" w:lineRule="auto"/>
              <w:rPr>
                <w:iCs/>
                <w:sz w:val="20"/>
                <w:szCs w:val="20"/>
              </w:rPr>
            </w:pPr>
            <w:r w:rsidRPr="00740191">
              <w:rPr>
                <w:iCs/>
                <w:sz w:val="20"/>
                <w:szCs w:val="20"/>
              </w:rPr>
              <w:t>Ej bistån</w:t>
            </w:r>
            <w:r w:rsidR="00117B2C">
              <w:rPr>
                <w:iCs/>
                <w:sz w:val="20"/>
                <w:szCs w:val="20"/>
              </w:rPr>
              <w:t>d</w:t>
            </w:r>
          </w:p>
        </w:tc>
        <w:tc>
          <w:tcPr>
            <w:tcW w:w="398" w:type="dxa"/>
            <w:tcBorders>
              <w:top w:val="nil"/>
              <w:left w:val="nil"/>
              <w:right w:val="nil"/>
            </w:tcBorders>
            <w:shd w:val="clear" w:color="auto" w:fill="auto"/>
            <w:noWrap/>
            <w:vAlign w:val="bottom"/>
            <w:hideMark/>
          </w:tcPr>
          <w:p w14:paraId="682B48A5" w14:textId="77777777" w:rsidR="007B5614" w:rsidRPr="00740191" w:rsidRDefault="007B5614" w:rsidP="00761833">
            <w:pPr>
              <w:tabs>
                <w:tab w:val="clear" w:pos="284"/>
              </w:tabs>
              <w:spacing w:after="0" w:line="240" w:lineRule="auto"/>
              <w:jc w:val="right"/>
              <w:rPr>
                <w:iCs/>
                <w:sz w:val="20"/>
                <w:szCs w:val="20"/>
              </w:rPr>
            </w:pPr>
            <w:r w:rsidRPr="00740191">
              <w:rPr>
                <w:iCs/>
                <w:sz w:val="20"/>
                <w:szCs w:val="20"/>
              </w:rPr>
              <w:t>750</w:t>
            </w:r>
          </w:p>
        </w:tc>
        <w:tc>
          <w:tcPr>
            <w:tcW w:w="708" w:type="dxa"/>
            <w:tcBorders>
              <w:top w:val="nil"/>
              <w:left w:val="nil"/>
              <w:right w:val="nil"/>
            </w:tcBorders>
            <w:shd w:val="clear" w:color="auto" w:fill="auto"/>
            <w:noWrap/>
            <w:vAlign w:val="bottom"/>
            <w:hideMark/>
          </w:tcPr>
          <w:p w14:paraId="5F8ED75A" w14:textId="77777777" w:rsidR="007B5614" w:rsidRPr="00740191" w:rsidRDefault="007B5614" w:rsidP="00761833">
            <w:pPr>
              <w:tabs>
                <w:tab w:val="clear" w:pos="284"/>
              </w:tabs>
              <w:spacing w:after="0" w:line="240" w:lineRule="auto"/>
              <w:jc w:val="right"/>
              <w:rPr>
                <w:iCs/>
                <w:sz w:val="20"/>
                <w:szCs w:val="20"/>
              </w:rPr>
            </w:pPr>
            <w:r w:rsidRPr="00740191">
              <w:rPr>
                <w:iCs/>
                <w:sz w:val="20"/>
                <w:szCs w:val="20"/>
              </w:rPr>
              <w:t>467</w:t>
            </w:r>
          </w:p>
        </w:tc>
        <w:tc>
          <w:tcPr>
            <w:tcW w:w="709" w:type="dxa"/>
            <w:tcBorders>
              <w:top w:val="nil"/>
              <w:left w:val="nil"/>
              <w:right w:val="nil"/>
            </w:tcBorders>
            <w:shd w:val="clear" w:color="auto" w:fill="auto"/>
            <w:noWrap/>
            <w:vAlign w:val="bottom"/>
            <w:hideMark/>
          </w:tcPr>
          <w:p w14:paraId="05E889BD" w14:textId="77777777" w:rsidR="007B5614" w:rsidRPr="00740191" w:rsidRDefault="007B5614" w:rsidP="00761833">
            <w:pPr>
              <w:tabs>
                <w:tab w:val="clear" w:pos="284"/>
              </w:tabs>
              <w:spacing w:after="0" w:line="240" w:lineRule="auto"/>
              <w:jc w:val="right"/>
              <w:rPr>
                <w:iCs/>
                <w:sz w:val="20"/>
                <w:szCs w:val="20"/>
              </w:rPr>
            </w:pPr>
            <w:r w:rsidRPr="00740191">
              <w:rPr>
                <w:iCs/>
                <w:sz w:val="20"/>
                <w:szCs w:val="20"/>
              </w:rPr>
              <w:t>745</w:t>
            </w:r>
          </w:p>
        </w:tc>
        <w:tc>
          <w:tcPr>
            <w:tcW w:w="709" w:type="dxa"/>
            <w:tcBorders>
              <w:top w:val="nil"/>
              <w:left w:val="nil"/>
              <w:right w:val="nil"/>
            </w:tcBorders>
            <w:shd w:val="clear" w:color="auto" w:fill="auto"/>
            <w:noWrap/>
            <w:vAlign w:val="bottom"/>
            <w:hideMark/>
          </w:tcPr>
          <w:p w14:paraId="44F8DCAB" w14:textId="77777777" w:rsidR="007B5614" w:rsidRPr="00740191" w:rsidRDefault="007B5614" w:rsidP="00761833">
            <w:pPr>
              <w:tabs>
                <w:tab w:val="clear" w:pos="284"/>
              </w:tabs>
              <w:spacing w:after="0" w:line="240" w:lineRule="auto"/>
              <w:jc w:val="right"/>
              <w:rPr>
                <w:iCs/>
                <w:sz w:val="20"/>
                <w:szCs w:val="20"/>
              </w:rPr>
            </w:pPr>
            <w:r w:rsidRPr="00740191">
              <w:rPr>
                <w:iCs/>
                <w:sz w:val="20"/>
                <w:szCs w:val="20"/>
              </w:rPr>
              <w:t>562</w:t>
            </w:r>
          </w:p>
        </w:tc>
        <w:tc>
          <w:tcPr>
            <w:tcW w:w="709" w:type="dxa"/>
            <w:tcBorders>
              <w:top w:val="nil"/>
              <w:left w:val="nil"/>
              <w:right w:val="nil"/>
            </w:tcBorders>
            <w:shd w:val="clear" w:color="auto" w:fill="auto"/>
            <w:noWrap/>
            <w:vAlign w:val="bottom"/>
            <w:hideMark/>
          </w:tcPr>
          <w:p w14:paraId="1A367121" w14:textId="77777777" w:rsidR="007B5614" w:rsidRPr="00740191" w:rsidRDefault="007B5614" w:rsidP="00761833">
            <w:pPr>
              <w:tabs>
                <w:tab w:val="clear" w:pos="284"/>
              </w:tabs>
              <w:spacing w:after="0" w:line="240" w:lineRule="auto"/>
              <w:jc w:val="right"/>
              <w:rPr>
                <w:iCs/>
                <w:sz w:val="20"/>
                <w:szCs w:val="20"/>
              </w:rPr>
            </w:pPr>
            <w:r w:rsidRPr="00740191">
              <w:rPr>
                <w:iCs/>
                <w:sz w:val="20"/>
                <w:szCs w:val="20"/>
              </w:rPr>
              <w:t>835</w:t>
            </w:r>
          </w:p>
        </w:tc>
        <w:tc>
          <w:tcPr>
            <w:tcW w:w="708" w:type="dxa"/>
            <w:tcBorders>
              <w:top w:val="nil"/>
              <w:left w:val="nil"/>
              <w:right w:val="nil"/>
            </w:tcBorders>
            <w:shd w:val="clear" w:color="auto" w:fill="auto"/>
            <w:noWrap/>
            <w:vAlign w:val="bottom"/>
            <w:hideMark/>
          </w:tcPr>
          <w:p w14:paraId="359EACC5" w14:textId="77777777" w:rsidR="007B5614" w:rsidRPr="00740191" w:rsidRDefault="007B5614" w:rsidP="00761833">
            <w:pPr>
              <w:tabs>
                <w:tab w:val="clear" w:pos="284"/>
              </w:tabs>
              <w:spacing w:after="0" w:line="240" w:lineRule="auto"/>
              <w:jc w:val="right"/>
              <w:rPr>
                <w:iCs/>
                <w:sz w:val="20"/>
                <w:szCs w:val="20"/>
              </w:rPr>
            </w:pPr>
            <w:r w:rsidRPr="00740191">
              <w:rPr>
                <w:iCs/>
                <w:sz w:val="20"/>
                <w:szCs w:val="20"/>
              </w:rPr>
              <w:t>942</w:t>
            </w:r>
          </w:p>
        </w:tc>
        <w:tc>
          <w:tcPr>
            <w:tcW w:w="709" w:type="dxa"/>
            <w:tcBorders>
              <w:top w:val="nil"/>
              <w:left w:val="nil"/>
              <w:right w:val="nil"/>
            </w:tcBorders>
            <w:shd w:val="clear" w:color="auto" w:fill="auto"/>
            <w:noWrap/>
            <w:vAlign w:val="bottom"/>
            <w:hideMark/>
          </w:tcPr>
          <w:p w14:paraId="2356DABC" w14:textId="77777777" w:rsidR="007B5614" w:rsidRPr="00740191" w:rsidRDefault="007B5614" w:rsidP="00761833">
            <w:pPr>
              <w:tabs>
                <w:tab w:val="clear" w:pos="284"/>
              </w:tabs>
              <w:spacing w:after="0" w:line="240" w:lineRule="auto"/>
              <w:jc w:val="right"/>
              <w:rPr>
                <w:iCs/>
                <w:sz w:val="20"/>
                <w:szCs w:val="20"/>
              </w:rPr>
            </w:pPr>
            <w:r w:rsidRPr="00740191">
              <w:rPr>
                <w:iCs/>
                <w:sz w:val="20"/>
                <w:szCs w:val="20"/>
              </w:rPr>
              <w:t>751</w:t>
            </w:r>
          </w:p>
        </w:tc>
        <w:tc>
          <w:tcPr>
            <w:tcW w:w="709" w:type="dxa"/>
            <w:tcBorders>
              <w:top w:val="nil"/>
              <w:left w:val="nil"/>
              <w:right w:val="nil"/>
            </w:tcBorders>
            <w:shd w:val="clear" w:color="auto" w:fill="auto"/>
            <w:noWrap/>
            <w:vAlign w:val="bottom"/>
            <w:hideMark/>
          </w:tcPr>
          <w:p w14:paraId="5612179E" w14:textId="77777777" w:rsidR="007B5614" w:rsidRPr="00740191" w:rsidRDefault="007B5614" w:rsidP="00761833">
            <w:pPr>
              <w:tabs>
                <w:tab w:val="clear" w:pos="284"/>
              </w:tabs>
              <w:spacing w:after="0" w:line="240" w:lineRule="auto"/>
              <w:jc w:val="right"/>
              <w:rPr>
                <w:iCs/>
                <w:sz w:val="20"/>
                <w:szCs w:val="20"/>
              </w:rPr>
            </w:pPr>
            <w:r w:rsidRPr="00740191">
              <w:rPr>
                <w:iCs/>
                <w:sz w:val="20"/>
                <w:szCs w:val="20"/>
              </w:rPr>
              <w:t>580</w:t>
            </w:r>
          </w:p>
        </w:tc>
        <w:tc>
          <w:tcPr>
            <w:tcW w:w="709" w:type="dxa"/>
            <w:tcBorders>
              <w:top w:val="nil"/>
              <w:left w:val="nil"/>
              <w:right w:val="nil"/>
            </w:tcBorders>
            <w:shd w:val="clear" w:color="auto" w:fill="auto"/>
            <w:noWrap/>
            <w:vAlign w:val="bottom"/>
            <w:hideMark/>
          </w:tcPr>
          <w:p w14:paraId="0F20E084" w14:textId="77777777" w:rsidR="007B5614" w:rsidRPr="00740191" w:rsidRDefault="007B5614" w:rsidP="00761833">
            <w:pPr>
              <w:tabs>
                <w:tab w:val="clear" w:pos="284"/>
              </w:tabs>
              <w:spacing w:after="0" w:line="240" w:lineRule="auto"/>
              <w:jc w:val="right"/>
              <w:rPr>
                <w:iCs/>
                <w:sz w:val="20"/>
                <w:szCs w:val="20"/>
              </w:rPr>
            </w:pPr>
            <w:r w:rsidRPr="00740191">
              <w:rPr>
                <w:iCs/>
                <w:sz w:val="20"/>
                <w:szCs w:val="20"/>
              </w:rPr>
              <w:t>891</w:t>
            </w:r>
          </w:p>
        </w:tc>
      </w:tr>
      <w:tr w:rsidR="007B5614" w:rsidRPr="00740191" w14:paraId="2E0BAFC3" w14:textId="77777777" w:rsidTr="00117B2C">
        <w:trPr>
          <w:trHeight w:val="342"/>
        </w:trPr>
        <w:tc>
          <w:tcPr>
            <w:tcW w:w="1843" w:type="dxa"/>
            <w:tcBorders>
              <w:left w:val="nil"/>
              <w:bottom w:val="single" w:sz="4" w:space="0" w:color="auto"/>
              <w:right w:val="nil"/>
            </w:tcBorders>
            <w:shd w:val="clear" w:color="auto" w:fill="auto"/>
            <w:noWrap/>
            <w:vAlign w:val="bottom"/>
            <w:hideMark/>
          </w:tcPr>
          <w:p w14:paraId="11DCB449" w14:textId="3AE8D711" w:rsidR="007B5614" w:rsidRPr="00740191" w:rsidRDefault="00117B2C" w:rsidP="00761833">
            <w:pPr>
              <w:tabs>
                <w:tab w:val="clear" w:pos="284"/>
              </w:tabs>
              <w:spacing w:after="0" w:line="240" w:lineRule="auto"/>
              <w:rPr>
                <w:b/>
                <w:bCs/>
                <w:sz w:val="20"/>
                <w:szCs w:val="20"/>
              </w:rPr>
            </w:pPr>
            <w:r>
              <w:rPr>
                <w:b/>
                <w:bCs/>
                <w:sz w:val="20"/>
                <w:szCs w:val="20"/>
              </w:rPr>
              <w:t>Samlat stöd till FN</w:t>
            </w:r>
          </w:p>
        </w:tc>
        <w:tc>
          <w:tcPr>
            <w:tcW w:w="398" w:type="dxa"/>
            <w:tcBorders>
              <w:left w:val="nil"/>
              <w:bottom w:val="single" w:sz="4" w:space="0" w:color="auto"/>
              <w:right w:val="nil"/>
            </w:tcBorders>
            <w:shd w:val="clear" w:color="auto" w:fill="auto"/>
            <w:noWrap/>
            <w:vAlign w:val="bottom"/>
            <w:hideMark/>
          </w:tcPr>
          <w:p w14:paraId="5AFD1A47"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8373</w:t>
            </w:r>
          </w:p>
        </w:tc>
        <w:tc>
          <w:tcPr>
            <w:tcW w:w="708" w:type="dxa"/>
            <w:tcBorders>
              <w:left w:val="nil"/>
              <w:bottom w:val="single" w:sz="4" w:space="0" w:color="auto"/>
              <w:right w:val="nil"/>
            </w:tcBorders>
            <w:shd w:val="clear" w:color="auto" w:fill="auto"/>
            <w:noWrap/>
            <w:vAlign w:val="bottom"/>
            <w:hideMark/>
          </w:tcPr>
          <w:p w14:paraId="3AE5F3C1"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9281</w:t>
            </w:r>
          </w:p>
        </w:tc>
        <w:tc>
          <w:tcPr>
            <w:tcW w:w="709" w:type="dxa"/>
            <w:tcBorders>
              <w:left w:val="nil"/>
              <w:bottom w:val="single" w:sz="4" w:space="0" w:color="auto"/>
              <w:right w:val="nil"/>
            </w:tcBorders>
            <w:shd w:val="clear" w:color="auto" w:fill="auto"/>
            <w:noWrap/>
            <w:vAlign w:val="bottom"/>
            <w:hideMark/>
          </w:tcPr>
          <w:p w14:paraId="22C5046A"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9877</w:t>
            </w:r>
          </w:p>
        </w:tc>
        <w:tc>
          <w:tcPr>
            <w:tcW w:w="709" w:type="dxa"/>
            <w:tcBorders>
              <w:left w:val="nil"/>
              <w:bottom w:val="single" w:sz="4" w:space="0" w:color="auto"/>
              <w:right w:val="nil"/>
            </w:tcBorders>
            <w:shd w:val="clear" w:color="auto" w:fill="auto"/>
            <w:noWrap/>
            <w:vAlign w:val="bottom"/>
            <w:hideMark/>
          </w:tcPr>
          <w:p w14:paraId="7B470D0D"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10 039</w:t>
            </w:r>
          </w:p>
        </w:tc>
        <w:tc>
          <w:tcPr>
            <w:tcW w:w="709" w:type="dxa"/>
            <w:tcBorders>
              <w:left w:val="nil"/>
              <w:bottom w:val="single" w:sz="4" w:space="0" w:color="auto"/>
              <w:right w:val="nil"/>
            </w:tcBorders>
            <w:shd w:val="clear" w:color="auto" w:fill="auto"/>
            <w:noWrap/>
            <w:vAlign w:val="bottom"/>
            <w:hideMark/>
          </w:tcPr>
          <w:p w14:paraId="6FCCB4EA"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11 807</w:t>
            </w:r>
          </w:p>
        </w:tc>
        <w:tc>
          <w:tcPr>
            <w:tcW w:w="708" w:type="dxa"/>
            <w:tcBorders>
              <w:left w:val="nil"/>
              <w:bottom w:val="single" w:sz="4" w:space="0" w:color="auto"/>
              <w:right w:val="nil"/>
            </w:tcBorders>
            <w:shd w:val="clear" w:color="auto" w:fill="auto"/>
            <w:noWrap/>
            <w:vAlign w:val="bottom"/>
            <w:hideMark/>
          </w:tcPr>
          <w:p w14:paraId="1B456554"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10 641</w:t>
            </w:r>
          </w:p>
        </w:tc>
        <w:tc>
          <w:tcPr>
            <w:tcW w:w="709" w:type="dxa"/>
            <w:tcBorders>
              <w:left w:val="nil"/>
              <w:bottom w:val="single" w:sz="4" w:space="0" w:color="auto"/>
              <w:right w:val="nil"/>
            </w:tcBorders>
            <w:shd w:val="clear" w:color="auto" w:fill="auto"/>
            <w:noWrap/>
            <w:vAlign w:val="bottom"/>
            <w:hideMark/>
          </w:tcPr>
          <w:p w14:paraId="504D05C8"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12 951</w:t>
            </w:r>
          </w:p>
        </w:tc>
        <w:tc>
          <w:tcPr>
            <w:tcW w:w="709" w:type="dxa"/>
            <w:tcBorders>
              <w:left w:val="nil"/>
              <w:bottom w:val="single" w:sz="4" w:space="0" w:color="auto"/>
              <w:right w:val="nil"/>
            </w:tcBorders>
            <w:shd w:val="clear" w:color="auto" w:fill="auto"/>
            <w:noWrap/>
            <w:vAlign w:val="bottom"/>
            <w:hideMark/>
          </w:tcPr>
          <w:p w14:paraId="35E3A153"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16 562</w:t>
            </w:r>
          </w:p>
        </w:tc>
        <w:tc>
          <w:tcPr>
            <w:tcW w:w="709" w:type="dxa"/>
            <w:tcBorders>
              <w:left w:val="nil"/>
              <w:bottom w:val="single" w:sz="4" w:space="0" w:color="auto"/>
              <w:right w:val="nil"/>
            </w:tcBorders>
            <w:shd w:val="clear" w:color="auto" w:fill="auto"/>
            <w:noWrap/>
            <w:vAlign w:val="bottom"/>
            <w:hideMark/>
          </w:tcPr>
          <w:p w14:paraId="78B0B48E" w14:textId="77777777" w:rsidR="007B5614" w:rsidRPr="00740191" w:rsidRDefault="007B5614" w:rsidP="00761833">
            <w:pPr>
              <w:tabs>
                <w:tab w:val="clear" w:pos="284"/>
              </w:tabs>
              <w:spacing w:after="0" w:line="240" w:lineRule="auto"/>
              <w:jc w:val="right"/>
              <w:rPr>
                <w:b/>
                <w:bCs/>
                <w:sz w:val="20"/>
                <w:szCs w:val="20"/>
              </w:rPr>
            </w:pPr>
            <w:r w:rsidRPr="00740191">
              <w:rPr>
                <w:b/>
                <w:bCs/>
                <w:sz w:val="20"/>
                <w:szCs w:val="20"/>
              </w:rPr>
              <w:t>16 681</w:t>
            </w:r>
          </w:p>
        </w:tc>
      </w:tr>
    </w:tbl>
    <w:p w14:paraId="11628F34" w14:textId="1AF89E5C" w:rsidR="007B5614" w:rsidRPr="00884681" w:rsidRDefault="007B5614" w:rsidP="007B5614">
      <w:pPr>
        <w:pStyle w:val="Tabell-Underrubrik"/>
        <w:rPr>
          <w:i w:val="0"/>
        </w:rPr>
      </w:pPr>
      <w:r w:rsidRPr="00884681">
        <w:rPr>
          <w:i w:val="0"/>
        </w:rPr>
        <w:t>Källa: Utrikesdepartementet</w:t>
      </w:r>
      <w:r w:rsidR="00616FC4" w:rsidRPr="00884681">
        <w:rPr>
          <w:i w:val="0"/>
        </w:rPr>
        <w:t>s sammanställning av uppgifter från OECD.stat</w:t>
      </w:r>
      <w:r w:rsidR="00F37669">
        <w:rPr>
          <w:i w:val="0"/>
        </w:rPr>
        <w:t>.</w:t>
      </w:r>
      <w:r w:rsidRPr="00884681">
        <w:rPr>
          <w:i w:val="0"/>
        </w:rPr>
        <w:t xml:space="preserve"> </w:t>
      </w:r>
    </w:p>
    <w:p w14:paraId="445EE547" w14:textId="77777777" w:rsidR="007B5614" w:rsidRPr="007B5614" w:rsidRDefault="007B5614" w:rsidP="007B5614"/>
    <w:p w14:paraId="58F0E45B" w14:textId="017D1BC9" w:rsidR="00AE3857" w:rsidRPr="00884681" w:rsidRDefault="00616FC4" w:rsidP="00616FC4">
      <w:pPr>
        <w:pStyle w:val="Beskrivning"/>
        <w:rPr>
          <w:b w:val="0"/>
          <w:i w:val="0"/>
          <w:sz w:val="20"/>
          <w:szCs w:val="20"/>
          <w:lang w:eastAsia="en-US"/>
        </w:rPr>
      </w:pPr>
      <w:r w:rsidRPr="00B266B5">
        <w:rPr>
          <w:szCs w:val="22"/>
        </w:rPr>
        <w:t xml:space="preserve">Diagram </w:t>
      </w:r>
      <w:r w:rsidR="00CB7C66" w:rsidRPr="00B266B5">
        <w:rPr>
          <w:szCs w:val="22"/>
        </w:rPr>
        <w:fldChar w:fldCharType="begin"/>
      </w:r>
      <w:r w:rsidR="00CB7C66" w:rsidRPr="00884681">
        <w:rPr>
          <w:szCs w:val="22"/>
        </w:rPr>
        <w:instrText xml:space="preserve"> SEQ Diagram \* ARABIC </w:instrText>
      </w:r>
      <w:r w:rsidR="00CB7C66" w:rsidRPr="00B266B5">
        <w:rPr>
          <w:szCs w:val="22"/>
        </w:rPr>
        <w:fldChar w:fldCharType="separate"/>
      </w:r>
      <w:r w:rsidRPr="00B266B5">
        <w:rPr>
          <w:noProof/>
          <w:szCs w:val="22"/>
        </w:rPr>
        <w:t>1</w:t>
      </w:r>
      <w:r w:rsidR="00CB7C66" w:rsidRPr="00B266B5">
        <w:rPr>
          <w:noProof/>
          <w:szCs w:val="22"/>
        </w:rPr>
        <w:fldChar w:fldCharType="end"/>
      </w:r>
      <w:r w:rsidR="00F37669" w:rsidRPr="00B266B5">
        <w:rPr>
          <w:noProof/>
          <w:szCs w:val="22"/>
        </w:rPr>
        <w:t xml:space="preserve">: </w:t>
      </w:r>
      <w:r w:rsidRPr="00B266B5">
        <w:rPr>
          <w:szCs w:val="22"/>
        </w:rPr>
        <w:t>Sve</w:t>
      </w:r>
      <w:r w:rsidR="00DA25F6">
        <w:rPr>
          <w:szCs w:val="22"/>
        </w:rPr>
        <w:t xml:space="preserve">riges </w:t>
      </w:r>
      <w:r w:rsidRPr="00B266B5">
        <w:rPr>
          <w:szCs w:val="22"/>
        </w:rPr>
        <w:t xml:space="preserve">bidrag till FN, </w:t>
      </w:r>
      <w:r w:rsidR="00F37669" w:rsidRPr="00B266B5">
        <w:rPr>
          <w:szCs w:val="22"/>
        </w:rPr>
        <w:t>2011–</w:t>
      </w:r>
      <w:r w:rsidR="00F37669" w:rsidRPr="009C51CD">
        <w:rPr>
          <w:szCs w:val="22"/>
        </w:rPr>
        <w:t>2019</w:t>
      </w:r>
      <w:r w:rsidR="00A83351">
        <w:rPr>
          <w:szCs w:val="22"/>
        </w:rPr>
        <w:t xml:space="preserve"> (m</w:t>
      </w:r>
      <w:r w:rsidRPr="009C51CD">
        <w:rPr>
          <w:szCs w:val="22"/>
        </w:rPr>
        <w:t>nkr</w:t>
      </w:r>
      <w:r w:rsidR="00A83351">
        <w:rPr>
          <w:szCs w:val="22"/>
        </w:rPr>
        <w:t>)</w:t>
      </w:r>
      <w:r w:rsidR="00F37669" w:rsidRPr="009C51CD">
        <w:rPr>
          <w:szCs w:val="22"/>
        </w:rPr>
        <w:t>.</w:t>
      </w:r>
      <w:r w:rsidR="00AE3857">
        <w:rPr>
          <w:noProof/>
        </w:rPr>
        <w:drawing>
          <wp:inline distT="0" distB="0" distL="0" distR="0" wp14:anchorId="127A5D18" wp14:editId="3222CE53">
            <wp:extent cx="4528868" cy="3001992"/>
            <wp:effectExtent l="0" t="0" r="5080" b="8255"/>
            <wp:docPr id="5" name="Diagram 5">
              <a:extLst xmlns:a="http://schemas.openxmlformats.org/drawingml/2006/main">
                <a:ext uri="{FF2B5EF4-FFF2-40B4-BE49-F238E27FC236}">
                  <a16:creationId xmlns:a16="http://schemas.microsoft.com/office/drawing/2014/main" id="{0FD92801-6585-4BD2-BC8D-88B23B56E5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40CF6">
        <w:rPr>
          <w:b w:val="0"/>
          <w:i w:val="0"/>
          <w:sz w:val="20"/>
          <w:szCs w:val="20"/>
        </w:rPr>
        <w:t>Källa: Utrikesdepartementets sammanställning av uppgifter från OECD.stat</w:t>
      </w:r>
      <w:r w:rsidR="00884681">
        <w:rPr>
          <w:b w:val="0"/>
          <w:i w:val="0"/>
          <w:sz w:val="20"/>
          <w:szCs w:val="20"/>
        </w:rPr>
        <w:t>.</w:t>
      </w:r>
    </w:p>
    <w:p w14:paraId="5808A163" w14:textId="77777777" w:rsidR="00AE3857" w:rsidRPr="00AE3857" w:rsidRDefault="00AE3857" w:rsidP="00AE3857"/>
    <w:p w14:paraId="7762E524" w14:textId="12087287" w:rsidR="00C92AD4" w:rsidRDefault="00EA6732" w:rsidP="00C92AD4">
      <w:r>
        <w:lastRenderedPageBreak/>
        <w:t xml:space="preserve">FN-insatsen Minusma i Mali finansieras </w:t>
      </w:r>
      <w:r w:rsidR="009B4ABB">
        <w:t>i</w:t>
      </w:r>
      <w:r w:rsidR="00DB6D91">
        <w:t>nom u</w:t>
      </w:r>
      <w:r w:rsidR="00616FC4">
        <w:t>tgiftsområde 6 Försvar och samhällets beredskap, anslag 1:2. Detta räknas inte som bistån</w:t>
      </w:r>
      <w:r w:rsidR="004D0EC4">
        <w:t>d</w:t>
      </w:r>
      <w:r w:rsidR="00EA3C14">
        <w:t xml:space="preserve"> men är en del av Sveriges samlade FN-stöd</w:t>
      </w:r>
      <w:r w:rsidR="004D0EC4">
        <w:t>. Utgifterna för M</w:t>
      </w:r>
      <w:r w:rsidR="00DB6D91">
        <w:t>inusma</w:t>
      </w:r>
      <w:r w:rsidR="004D0EC4">
        <w:t xml:space="preserve"> redovisas i </w:t>
      </w:r>
      <w:r w:rsidR="00DB6D91">
        <w:t>t</w:t>
      </w:r>
      <w:r w:rsidR="004D0EC4">
        <w:t>abell 3. Utöver detta bidrag förekommer det att Försvarsmakten ger bidrag till vissa FN-projekt på ad hoc</w:t>
      </w:r>
      <w:r w:rsidR="00DB6D91">
        <w:t>-</w:t>
      </w:r>
      <w:r w:rsidR="004D0EC4">
        <w:t>basis</w:t>
      </w:r>
      <w:r w:rsidR="00DB6D91">
        <w:t>. U</w:t>
      </w:r>
      <w:r w:rsidR="004D0EC4">
        <w:t xml:space="preserve">tredningstjänsten </w:t>
      </w:r>
      <w:r w:rsidR="00DB6D91">
        <w:t xml:space="preserve">har dock inte kunnat inhämta </w:t>
      </w:r>
      <w:r w:rsidR="004D0EC4">
        <w:t>tillräckliga underlag för att redovisa</w:t>
      </w:r>
      <w:r w:rsidR="00EE634E">
        <w:t xml:space="preserve"> dessa bidrag</w:t>
      </w:r>
      <w:r w:rsidR="000E4165">
        <w:t>.</w:t>
      </w:r>
      <w:r w:rsidR="00EA3C14">
        <w:rPr>
          <w:rStyle w:val="Fotnotsreferens"/>
        </w:rPr>
        <w:footnoteReference w:id="12"/>
      </w:r>
      <w:r w:rsidR="004D0EC4">
        <w:t xml:space="preserve"> </w:t>
      </w:r>
    </w:p>
    <w:p w14:paraId="14B78E39" w14:textId="17A4E35C" w:rsidR="00EA3C14" w:rsidRDefault="00EA3C14" w:rsidP="00C92AD4">
      <w:r>
        <w:t xml:space="preserve">FN:s fredsbevarande arbete totalt sett finansieras även </w:t>
      </w:r>
      <w:r w:rsidR="00EE634E">
        <w:t>inom u</w:t>
      </w:r>
      <w:r>
        <w:t>tgiftsområde 5 Internationell samverkan genom de obligatoriska medlemsavgifterna</w:t>
      </w:r>
      <w:r w:rsidR="000E4165">
        <w:t>.</w:t>
      </w:r>
      <w:r>
        <w:rPr>
          <w:rStyle w:val="Fotnotsreferens"/>
        </w:rPr>
        <w:footnoteReference w:id="13"/>
      </w:r>
    </w:p>
    <w:p w14:paraId="25904F0E" w14:textId="0AA60105" w:rsidR="004D0EC4" w:rsidRDefault="004D0EC4" w:rsidP="00C92AD4">
      <w:r>
        <w:t xml:space="preserve">Notera att siffrorna i </w:t>
      </w:r>
      <w:r w:rsidR="00EE634E">
        <w:t>t</w:t>
      </w:r>
      <w:r>
        <w:t xml:space="preserve">abell 3 </w:t>
      </w:r>
      <w:r w:rsidR="00EC66E0">
        <w:t xml:space="preserve">delvis </w:t>
      </w:r>
      <w:r>
        <w:t xml:space="preserve">utgör </w:t>
      </w:r>
      <w:r w:rsidR="002941A8">
        <w:t>d</w:t>
      </w:r>
      <w:r>
        <w:t xml:space="preserve">et som redovisas som Ej bistånd i </w:t>
      </w:r>
      <w:r w:rsidR="00EE634E">
        <w:t>t</w:t>
      </w:r>
      <w:r>
        <w:t>abell 2.</w:t>
      </w:r>
    </w:p>
    <w:p w14:paraId="5E8C6CE4" w14:textId="77777777" w:rsidR="00742542" w:rsidRPr="00C92AD4" w:rsidRDefault="00742542" w:rsidP="00C92AD4"/>
    <w:p w14:paraId="639A28EA" w14:textId="11DA5667" w:rsidR="00213DFE" w:rsidRPr="00140CF6" w:rsidRDefault="00213DFE" w:rsidP="00EE0449">
      <w:pPr>
        <w:tabs>
          <w:tab w:val="clear" w:pos="284"/>
        </w:tabs>
        <w:spacing w:after="0" w:line="240" w:lineRule="auto"/>
        <w:ind w:right="-737"/>
        <w:rPr>
          <w:b/>
          <w:i/>
        </w:rPr>
      </w:pPr>
      <w:r w:rsidRPr="00140CF6">
        <w:rPr>
          <w:b/>
          <w:i/>
        </w:rPr>
        <w:t xml:space="preserve">Tabell </w:t>
      </w:r>
      <w:r w:rsidR="004D0EC4" w:rsidRPr="00140CF6">
        <w:rPr>
          <w:b/>
          <w:i/>
        </w:rPr>
        <w:t>3</w:t>
      </w:r>
      <w:r w:rsidR="00F37669" w:rsidRPr="00140CF6">
        <w:rPr>
          <w:b/>
          <w:i/>
        </w:rPr>
        <w:t>:</w:t>
      </w:r>
      <w:r w:rsidRPr="00140CF6">
        <w:rPr>
          <w:b/>
          <w:i/>
        </w:rPr>
        <w:t xml:space="preserve"> Utfall för Försvarsmaktens deltagande i FN-insatsen M</w:t>
      </w:r>
      <w:r w:rsidR="00EE634E">
        <w:rPr>
          <w:b/>
          <w:i/>
        </w:rPr>
        <w:t xml:space="preserve">inusma, </w:t>
      </w:r>
      <w:r w:rsidR="00EE0449" w:rsidRPr="00140CF6">
        <w:rPr>
          <w:b/>
          <w:i/>
        </w:rPr>
        <w:t>UO6 anslag 1:2</w:t>
      </w:r>
      <w:r w:rsidR="00EE634E">
        <w:rPr>
          <w:b/>
          <w:i/>
        </w:rPr>
        <w:t xml:space="preserve"> </w:t>
      </w:r>
      <w:r w:rsidR="00EE634E" w:rsidRPr="00313801">
        <w:rPr>
          <w:b/>
          <w:i/>
        </w:rPr>
        <w:t>(</w:t>
      </w:r>
      <w:r w:rsidR="006139CF">
        <w:rPr>
          <w:b/>
          <w:i/>
        </w:rPr>
        <w:t>mn</w:t>
      </w:r>
      <w:r w:rsidR="00EE634E" w:rsidRPr="00313801">
        <w:rPr>
          <w:b/>
          <w:i/>
        </w:rPr>
        <w:t>kr)</w:t>
      </w:r>
      <w:r w:rsidR="00EE634E">
        <w:rPr>
          <w:b/>
          <w:i/>
        </w:rPr>
        <w:t>.</w:t>
      </w:r>
    </w:p>
    <w:tbl>
      <w:tblPr>
        <w:tblW w:w="6753" w:type="dxa"/>
        <w:tblCellMar>
          <w:left w:w="70" w:type="dxa"/>
          <w:right w:w="70" w:type="dxa"/>
        </w:tblCellMar>
        <w:tblLook w:val="04A0" w:firstRow="1" w:lastRow="0" w:firstColumn="1" w:lastColumn="0" w:noHBand="0" w:noVBand="1"/>
      </w:tblPr>
      <w:tblGrid>
        <w:gridCol w:w="851"/>
        <w:gridCol w:w="992"/>
        <w:gridCol w:w="992"/>
        <w:gridCol w:w="851"/>
        <w:gridCol w:w="992"/>
        <w:gridCol w:w="992"/>
        <w:gridCol w:w="1083"/>
      </w:tblGrid>
      <w:tr w:rsidR="00C92AD4" w:rsidRPr="00213DFE" w14:paraId="3B12521A" w14:textId="77777777" w:rsidTr="00C92AD4">
        <w:trPr>
          <w:trHeight w:val="324"/>
        </w:trPr>
        <w:tc>
          <w:tcPr>
            <w:tcW w:w="851" w:type="dxa"/>
            <w:tcBorders>
              <w:top w:val="single" w:sz="4" w:space="0" w:color="auto"/>
              <w:left w:val="nil"/>
              <w:bottom w:val="single" w:sz="4" w:space="0" w:color="auto"/>
              <w:right w:val="nil"/>
            </w:tcBorders>
            <w:shd w:val="clear" w:color="auto" w:fill="auto"/>
            <w:noWrap/>
            <w:vAlign w:val="center"/>
            <w:hideMark/>
          </w:tcPr>
          <w:p w14:paraId="51005311" w14:textId="77777777" w:rsidR="00C92AD4" w:rsidRPr="00213DFE" w:rsidRDefault="00C92AD4" w:rsidP="00140CF6">
            <w:pPr>
              <w:tabs>
                <w:tab w:val="clear" w:pos="284"/>
              </w:tabs>
              <w:spacing w:after="0" w:line="240" w:lineRule="auto"/>
              <w:jc w:val="right"/>
              <w:rPr>
                <w:b/>
                <w:color w:val="000000"/>
                <w:sz w:val="20"/>
                <w:szCs w:val="20"/>
              </w:rPr>
            </w:pPr>
            <w:r w:rsidRPr="00213DFE">
              <w:rPr>
                <w:b/>
                <w:color w:val="000000"/>
                <w:sz w:val="20"/>
                <w:szCs w:val="20"/>
              </w:rPr>
              <w:t>2013</w:t>
            </w:r>
          </w:p>
        </w:tc>
        <w:tc>
          <w:tcPr>
            <w:tcW w:w="992" w:type="dxa"/>
            <w:tcBorders>
              <w:top w:val="single" w:sz="4" w:space="0" w:color="auto"/>
              <w:left w:val="nil"/>
              <w:bottom w:val="single" w:sz="4" w:space="0" w:color="auto"/>
              <w:right w:val="nil"/>
            </w:tcBorders>
            <w:shd w:val="clear" w:color="auto" w:fill="auto"/>
            <w:noWrap/>
            <w:vAlign w:val="center"/>
            <w:hideMark/>
          </w:tcPr>
          <w:p w14:paraId="147F8753" w14:textId="77777777" w:rsidR="00C92AD4" w:rsidRPr="00213DFE" w:rsidRDefault="00C92AD4" w:rsidP="00140CF6">
            <w:pPr>
              <w:tabs>
                <w:tab w:val="clear" w:pos="284"/>
              </w:tabs>
              <w:spacing w:after="0" w:line="240" w:lineRule="auto"/>
              <w:jc w:val="right"/>
              <w:rPr>
                <w:b/>
                <w:color w:val="000000"/>
                <w:sz w:val="20"/>
                <w:szCs w:val="20"/>
              </w:rPr>
            </w:pPr>
            <w:r w:rsidRPr="00213DFE">
              <w:rPr>
                <w:b/>
                <w:color w:val="000000"/>
                <w:sz w:val="20"/>
                <w:szCs w:val="20"/>
              </w:rPr>
              <w:t>2014</w:t>
            </w:r>
          </w:p>
        </w:tc>
        <w:tc>
          <w:tcPr>
            <w:tcW w:w="992" w:type="dxa"/>
            <w:tcBorders>
              <w:top w:val="single" w:sz="4" w:space="0" w:color="auto"/>
              <w:left w:val="nil"/>
              <w:bottom w:val="single" w:sz="4" w:space="0" w:color="auto"/>
              <w:right w:val="nil"/>
            </w:tcBorders>
            <w:shd w:val="clear" w:color="auto" w:fill="auto"/>
            <w:noWrap/>
            <w:vAlign w:val="center"/>
            <w:hideMark/>
          </w:tcPr>
          <w:p w14:paraId="7B772DF3" w14:textId="77777777" w:rsidR="00C92AD4" w:rsidRPr="00213DFE" w:rsidRDefault="00C92AD4" w:rsidP="00140CF6">
            <w:pPr>
              <w:tabs>
                <w:tab w:val="clear" w:pos="284"/>
              </w:tabs>
              <w:spacing w:after="0" w:line="240" w:lineRule="auto"/>
              <w:jc w:val="right"/>
              <w:rPr>
                <w:b/>
                <w:color w:val="000000"/>
                <w:sz w:val="20"/>
                <w:szCs w:val="20"/>
              </w:rPr>
            </w:pPr>
            <w:r w:rsidRPr="00213DFE">
              <w:rPr>
                <w:b/>
                <w:color w:val="000000"/>
                <w:sz w:val="20"/>
                <w:szCs w:val="20"/>
              </w:rPr>
              <w:t>2015</w:t>
            </w:r>
          </w:p>
        </w:tc>
        <w:tc>
          <w:tcPr>
            <w:tcW w:w="851" w:type="dxa"/>
            <w:tcBorders>
              <w:top w:val="single" w:sz="4" w:space="0" w:color="auto"/>
              <w:left w:val="nil"/>
              <w:bottom w:val="single" w:sz="4" w:space="0" w:color="auto"/>
              <w:right w:val="nil"/>
            </w:tcBorders>
            <w:shd w:val="clear" w:color="auto" w:fill="auto"/>
            <w:noWrap/>
            <w:vAlign w:val="center"/>
            <w:hideMark/>
          </w:tcPr>
          <w:p w14:paraId="262AC953" w14:textId="77777777" w:rsidR="00C92AD4" w:rsidRPr="00213DFE" w:rsidRDefault="00C92AD4" w:rsidP="00140CF6">
            <w:pPr>
              <w:tabs>
                <w:tab w:val="clear" w:pos="284"/>
              </w:tabs>
              <w:spacing w:after="0" w:line="240" w:lineRule="auto"/>
              <w:jc w:val="right"/>
              <w:rPr>
                <w:b/>
                <w:color w:val="000000"/>
                <w:sz w:val="20"/>
                <w:szCs w:val="20"/>
              </w:rPr>
            </w:pPr>
            <w:r w:rsidRPr="00213DFE">
              <w:rPr>
                <w:b/>
                <w:color w:val="000000"/>
                <w:sz w:val="20"/>
                <w:szCs w:val="20"/>
              </w:rPr>
              <w:t>2016</w:t>
            </w:r>
          </w:p>
        </w:tc>
        <w:tc>
          <w:tcPr>
            <w:tcW w:w="992" w:type="dxa"/>
            <w:tcBorders>
              <w:top w:val="single" w:sz="4" w:space="0" w:color="auto"/>
              <w:left w:val="nil"/>
              <w:bottom w:val="single" w:sz="4" w:space="0" w:color="auto"/>
              <w:right w:val="nil"/>
            </w:tcBorders>
            <w:shd w:val="clear" w:color="auto" w:fill="auto"/>
            <w:noWrap/>
            <w:vAlign w:val="center"/>
            <w:hideMark/>
          </w:tcPr>
          <w:p w14:paraId="527A4D58" w14:textId="77777777" w:rsidR="00C92AD4" w:rsidRPr="00213DFE" w:rsidRDefault="00C92AD4" w:rsidP="00140CF6">
            <w:pPr>
              <w:tabs>
                <w:tab w:val="clear" w:pos="284"/>
              </w:tabs>
              <w:spacing w:after="0" w:line="240" w:lineRule="auto"/>
              <w:jc w:val="right"/>
              <w:rPr>
                <w:b/>
                <w:color w:val="000000"/>
                <w:sz w:val="20"/>
                <w:szCs w:val="20"/>
              </w:rPr>
            </w:pPr>
            <w:r w:rsidRPr="00213DFE">
              <w:rPr>
                <w:b/>
                <w:color w:val="000000"/>
                <w:sz w:val="20"/>
                <w:szCs w:val="20"/>
              </w:rPr>
              <w:t>2017</w:t>
            </w:r>
          </w:p>
        </w:tc>
        <w:tc>
          <w:tcPr>
            <w:tcW w:w="992" w:type="dxa"/>
            <w:tcBorders>
              <w:top w:val="single" w:sz="4" w:space="0" w:color="auto"/>
              <w:left w:val="nil"/>
              <w:bottom w:val="single" w:sz="4" w:space="0" w:color="auto"/>
              <w:right w:val="nil"/>
            </w:tcBorders>
            <w:shd w:val="clear" w:color="auto" w:fill="auto"/>
            <w:noWrap/>
            <w:vAlign w:val="center"/>
            <w:hideMark/>
          </w:tcPr>
          <w:p w14:paraId="38F5FACB" w14:textId="77777777" w:rsidR="00C92AD4" w:rsidRPr="00213DFE" w:rsidRDefault="00C92AD4" w:rsidP="00140CF6">
            <w:pPr>
              <w:tabs>
                <w:tab w:val="clear" w:pos="284"/>
              </w:tabs>
              <w:spacing w:after="0" w:line="240" w:lineRule="auto"/>
              <w:jc w:val="right"/>
              <w:rPr>
                <w:b/>
                <w:color w:val="000000"/>
                <w:sz w:val="20"/>
                <w:szCs w:val="20"/>
              </w:rPr>
            </w:pPr>
            <w:r w:rsidRPr="00213DFE">
              <w:rPr>
                <w:b/>
                <w:color w:val="000000"/>
                <w:sz w:val="20"/>
                <w:szCs w:val="20"/>
              </w:rPr>
              <w:t>2018</w:t>
            </w:r>
          </w:p>
        </w:tc>
        <w:tc>
          <w:tcPr>
            <w:tcW w:w="1083" w:type="dxa"/>
            <w:tcBorders>
              <w:top w:val="single" w:sz="4" w:space="0" w:color="auto"/>
              <w:left w:val="nil"/>
              <w:bottom w:val="single" w:sz="4" w:space="0" w:color="auto"/>
              <w:right w:val="nil"/>
            </w:tcBorders>
            <w:shd w:val="clear" w:color="auto" w:fill="auto"/>
            <w:noWrap/>
            <w:vAlign w:val="center"/>
            <w:hideMark/>
          </w:tcPr>
          <w:p w14:paraId="4FA2FEB5" w14:textId="77777777" w:rsidR="00C92AD4" w:rsidRPr="00213DFE" w:rsidRDefault="00C92AD4" w:rsidP="00140CF6">
            <w:pPr>
              <w:tabs>
                <w:tab w:val="clear" w:pos="284"/>
              </w:tabs>
              <w:spacing w:after="0" w:line="240" w:lineRule="auto"/>
              <w:jc w:val="right"/>
              <w:rPr>
                <w:b/>
                <w:color w:val="000000"/>
                <w:sz w:val="20"/>
                <w:szCs w:val="20"/>
              </w:rPr>
            </w:pPr>
            <w:r w:rsidRPr="00213DFE">
              <w:rPr>
                <w:b/>
                <w:color w:val="000000"/>
                <w:sz w:val="20"/>
                <w:szCs w:val="20"/>
              </w:rPr>
              <w:t>2019</w:t>
            </w:r>
          </w:p>
        </w:tc>
      </w:tr>
      <w:tr w:rsidR="00C92AD4" w:rsidRPr="00213DFE" w14:paraId="33CBC85D" w14:textId="77777777" w:rsidTr="00C92AD4">
        <w:trPr>
          <w:trHeight w:val="324"/>
        </w:trPr>
        <w:tc>
          <w:tcPr>
            <w:tcW w:w="851" w:type="dxa"/>
            <w:tcBorders>
              <w:top w:val="nil"/>
              <w:left w:val="nil"/>
              <w:bottom w:val="single" w:sz="4" w:space="0" w:color="auto"/>
              <w:right w:val="nil"/>
            </w:tcBorders>
            <w:shd w:val="clear" w:color="auto" w:fill="auto"/>
            <w:noWrap/>
            <w:vAlign w:val="center"/>
            <w:hideMark/>
          </w:tcPr>
          <w:p w14:paraId="78209BA6" w14:textId="33767B05" w:rsidR="00C92AD4" w:rsidRPr="00213DFE" w:rsidRDefault="00C92AD4" w:rsidP="00140CF6">
            <w:pPr>
              <w:tabs>
                <w:tab w:val="clear" w:pos="284"/>
              </w:tabs>
              <w:spacing w:after="0" w:line="240" w:lineRule="auto"/>
              <w:jc w:val="right"/>
              <w:rPr>
                <w:color w:val="000000"/>
                <w:sz w:val="20"/>
                <w:szCs w:val="20"/>
              </w:rPr>
            </w:pPr>
            <w:r w:rsidRPr="00213DFE">
              <w:rPr>
                <w:color w:val="000000"/>
                <w:sz w:val="20"/>
                <w:szCs w:val="20"/>
              </w:rPr>
              <w:t>1</w:t>
            </w:r>
          </w:p>
        </w:tc>
        <w:tc>
          <w:tcPr>
            <w:tcW w:w="992" w:type="dxa"/>
            <w:tcBorders>
              <w:top w:val="nil"/>
              <w:left w:val="nil"/>
              <w:bottom w:val="single" w:sz="4" w:space="0" w:color="auto"/>
              <w:right w:val="nil"/>
            </w:tcBorders>
            <w:shd w:val="clear" w:color="auto" w:fill="auto"/>
            <w:noWrap/>
            <w:vAlign w:val="center"/>
            <w:hideMark/>
          </w:tcPr>
          <w:p w14:paraId="16002DF0" w14:textId="7EAB31AF" w:rsidR="00C92AD4" w:rsidRPr="00213DFE" w:rsidRDefault="00C92AD4" w:rsidP="00140CF6">
            <w:pPr>
              <w:tabs>
                <w:tab w:val="clear" w:pos="284"/>
              </w:tabs>
              <w:spacing w:after="0" w:line="240" w:lineRule="auto"/>
              <w:jc w:val="right"/>
              <w:rPr>
                <w:color w:val="000000"/>
                <w:sz w:val="20"/>
                <w:szCs w:val="20"/>
              </w:rPr>
            </w:pPr>
            <w:r w:rsidRPr="00213DFE">
              <w:rPr>
                <w:color w:val="000000"/>
                <w:sz w:val="20"/>
                <w:szCs w:val="20"/>
              </w:rPr>
              <w:t>327</w:t>
            </w:r>
          </w:p>
        </w:tc>
        <w:tc>
          <w:tcPr>
            <w:tcW w:w="992" w:type="dxa"/>
            <w:tcBorders>
              <w:top w:val="nil"/>
              <w:left w:val="nil"/>
              <w:bottom w:val="single" w:sz="4" w:space="0" w:color="auto"/>
              <w:right w:val="nil"/>
            </w:tcBorders>
            <w:shd w:val="clear" w:color="auto" w:fill="auto"/>
            <w:noWrap/>
            <w:vAlign w:val="center"/>
            <w:hideMark/>
          </w:tcPr>
          <w:p w14:paraId="1FEF0E28" w14:textId="051E8399" w:rsidR="00C92AD4" w:rsidRPr="00213DFE" w:rsidRDefault="00C92AD4" w:rsidP="00140CF6">
            <w:pPr>
              <w:tabs>
                <w:tab w:val="clear" w:pos="284"/>
              </w:tabs>
              <w:spacing w:after="0" w:line="240" w:lineRule="auto"/>
              <w:jc w:val="right"/>
              <w:rPr>
                <w:color w:val="000000"/>
                <w:sz w:val="20"/>
                <w:szCs w:val="20"/>
              </w:rPr>
            </w:pPr>
            <w:r w:rsidRPr="00213DFE">
              <w:rPr>
                <w:color w:val="000000"/>
                <w:sz w:val="20"/>
                <w:szCs w:val="20"/>
              </w:rPr>
              <w:t>639</w:t>
            </w:r>
          </w:p>
        </w:tc>
        <w:tc>
          <w:tcPr>
            <w:tcW w:w="851" w:type="dxa"/>
            <w:tcBorders>
              <w:top w:val="nil"/>
              <w:left w:val="nil"/>
              <w:bottom w:val="single" w:sz="4" w:space="0" w:color="auto"/>
              <w:right w:val="nil"/>
            </w:tcBorders>
            <w:shd w:val="clear" w:color="auto" w:fill="auto"/>
            <w:noWrap/>
            <w:vAlign w:val="center"/>
            <w:hideMark/>
          </w:tcPr>
          <w:p w14:paraId="30FED053" w14:textId="5402A91C" w:rsidR="00C92AD4" w:rsidRPr="00213DFE" w:rsidRDefault="00C92AD4" w:rsidP="00140CF6">
            <w:pPr>
              <w:tabs>
                <w:tab w:val="clear" w:pos="284"/>
              </w:tabs>
              <w:spacing w:after="0" w:line="240" w:lineRule="auto"/>
              <w:jc w:val="right"/>
              <w:rPr>
                <w:color w:val="000000"/>
                <w:sz w:val="20"/>
                <w:szCs w:val="20"/>
              </w:rPr>
            </w:pPr>
            <w:r w:rsidRPr="00213DFE">
              <w:rPr>
                <w:color w:val="000000"/>
                <w:sz w:val="20"/>
                <w:szCs w:val="20"/>
              </w:rPr>
              <w:t>681</w:t>
            </w:r>
          </w:p>
        </w:tc>
        <w:tc>
          <w:tcPr>
            <w:tcW w:w="992" w:type="dxa"/>
            <w:tcBorders>
              <w:top w:val="nil"/>
              <w:left w:val="nil"/>
              <w:bottom w:val="single" w:sz="4" w:space="0" w:color="auto"/>
              <w:right w:val="nil"/>
            </w:tcBorders>
            <w:shd w:val="clear" w:color="auto" w:fill="auto"/>
            <w:noWrap/>
            <w:vAlign w:val="center"/>
            <w:hideMark/>
          </w:tcPr>
          <w:p w14:paraId="3A8AD80B" w14:textId="4B4FEB4C" w:rsidR="00C92AD4" w:rsidRPr="00213DFE" w:rsidRDefault="00C92AD4" w:rsidP="00140CF6">
            <w:pPr>
              <w:tabs>
                <w:tab w:val="clear" w:pos="284"/>
              </w:tabs>
              <w:spacing w:after="0" w:line="240" w:lineRule="auto"/>
              <w:jc w:val="right"/>
              <w:rPr>
                <w:color w:val="000000"/>
                <w:sz w:val="20"/>
                <w:szCs w:val="20"/>
              </w:rPr>
            </w:pPr>
            <w:r w:rsidRPr="00213DFE">
              <w:rPr>
                <w:color w:val="000000"/>
                <w:sz w:val="20"/>
                <w:szCs w:val="20"/>
              </w:rPr>
              <w:t>758</w:t>
            </w:r>
          </w:p>
        </w:tc>
        <w:tc>
          <w:tcPr>
            <w:tcW w:w="992" w:type="dxa"/>
            <w:tcBorders>
              <w:top w:val="nil"/>
              <w:left w:val="nil"/>
              <w:bottom w:val="single" w:sz="4" w:space="0" w:color="auto"/>
              <w:right w:val="nil"/>
            </w:tcBorders>
            <w:shd w:val="clear" w:color="auto" w:fill="auto"/>
            <w:noWrap/>
            <w:vAlign w:val="center"/>
            <w:hideMark/>
          </w:tcPr>
          <w:p w14:paraId="7B8EFA4E" w14:textId="0CA2597E" w:rsidR="00C92AD4" w:rsidRPr="00213DFE" w:rsidRDefault="00C92AD4" w:rsidP="00140CF6">
            <w:pPr>
              <w:tabs>
                <w:tab w:val="clear" w:pos="284"/>
              </w:tabs>
              <w:spacing w:after="0" w:line="240" w:lineRule="auto"/>
              <w:jc w:val="right"/>
              <w:rPr>
                <w:color w:val="000000"/>
                <w:sz w:val="20"/>
                <w:szCs w:val="20"/>
              </w:rPr>
            </w:pPr>
            <w:r w:rsidRPr="00213DFE">
              <w:rPr>
                <w:color w:val="000000"/>
                <w:sz w:val="20"/>
                <w:szCs w:val="20"/>
              </w:rPr>
              <w:t>764</w:t>
            </w:r>
          </w:p>
        </w:tc>
        <w:tc>
          <w:tcPr>
            <w:tcW w:w="1083" w:type="dxa"/>
            <w:tcBorders>
              <w:top w:val="nil"/>
              <w:left w:val="nil"/>
              <w:bottom w:val="single" w:sz="4" w:space="0" w:color="auto"/>
              <w:right w:val="nil"/>
            </w:tcBorders>
            <w:shd w:val="clear" w:color="auto" w:fill="auto"/>
            <w:noWrap/>
            <w:vAlign w:val="center"/>
            <w:hideMark/>
          </w:tcPr>
          <w:p w14:paraId="37257A26" w14:textId="2B523AB1" w:rsidR="00C92AD4" w:rsidRPr="00213DFE" w:rsidRDefault="00C92AD4" w:rsidP="00140CF6">
            <w:pPr>
              <w:tabs>
                <w:tab w:val="clear" w:pos="284"/>
              </w:tabs>
              <w:spacing w:after="0" w:line="240" w:lineRule="auto"/>
              <w:jc w:val="right"/>
              <w:rPr>
                <w:color w:val="000000"/>
                <w:sz w:val="20"/>
                <w:szCs w:val="20"/>
              </w:rPr>
            </w:pPr>
            <w:r w:rsidRPr="00213DFE">
              <w:rPr>
                <w:color w:val="000000"/>
                <w:sz w:val="20"/>
                <w:szCs w:val="20"/>
              </w:rPr>
              <w:t>720</w:t>
            </w:r>
          </w:p>
        </w:tc>
      </w:tr>
    </w:tbl>
    <w:p w14:paraId="6DEC094E" w14:textId="1A4E45D5" w:rsidR="004D0EC4" w:rsidRPr="00140CF6" w:rsidRDefault="00F37669" w:rsidP="00B266B5">
      <w:pPr>
        <w:rPr>
          <w:sz w:val="20"/>
          <w:szCs w:val="20"/>
        </w:rPr>
      </w:pPr>
      <w:r w:rsidRPr="000A7FFD">
        <w:rPr>
          <w:sz w:val="20"/>
          <w:szCs w:val="20"/>
        </w:rPr>
        <w:t>Källa:</w:t>
      </w:r>
      <w:r w:rsidRPr="00140CF6">
        <w:rPr>
          <w:sz w:val="20"/>
          <w:szCs w:val="20"/>
        </w:rPr>
        <w:t xml:space="preserve"> </w:t>
      </w:r>
      <w:r w:rsidR="00185D9F">
        <w:rPr>
          <w:sz w:val="20"/>
          <w:szCs w:val="20"/>
        </w:rPr>
        <w:t>Utrikesdepartementet</w:t>
      </w:r>
    </w:p>
    <w:p w14:paraId="4D187F3B" w14:textId="77777777" w:rsidR="006E5468" w:rsidRPr="006E5468" w:rsidRDefault="006E5468" w:rsidP="006E5468"/>
    <w:p w14:paraId="3380C264" w14:textId="4EC0B334" w:rsidR="00CF0644" w:rsidRDefault="00742542" w:rsidP="00CF0644">
      <w:pPr>
        <w:pStyle w:val="Rubrik1"/>
      </w:pPr>
      <w:r>
        <w:t>Sverige och a</w:t>
      </w:r>
      <w:r w:rsidR="00D91AE0">
        <w:t>ndra länder</w:t>
      </w:r>
      <w:r>
        <w:t xml:space="preserve"> i jämförelse</w:t>
      </w:r>
    </w:p>
    <w:p w14:paraId="1BA0850E" w14:textId="7EF99249" w:rsidR="00CF0644" w:rsidRDefault="00CF0644" w:rsidP="00CF0644">
      <w:r>
        <w:t xml:space="preserve">För att sammanställa hur mycket andra länder bidrar till FN har utredningstjänsten </w:t>
      </w:r>
      <w:r w:rsidR="00CA163B">
        <w:t>kontaktat</w:t>
      </w:r>
      <w:r>
        <w:t xml:space="preserve"> Utrikesdepartementet</w:t>
      </w:r>
      <w:r w:rsidR="00BC419B">
        <w:t>,</w:t>
      </w:r>
      <w:r>
        <w:t xml:space="preserve"> som </w:t>
      </w:r>
      <w:r w:rsidR="00BC419B">
        <w:t xml:space="preserve">har </w:t>
      </w:r>
      <w:r>
        <w:t>tillhandahållit en tabell baserad på uppgifter från OECD:s statistikdatabas</w:t>
      </w:r>
      <w:r w:rsidR="00CA163B">
        <w:t xml:space="preserve">. </w:t>
      </w:r>
      <w:r w:rsidR="000E4165">
        <w:t>OECD sammanställer hur mycket bistånd som FN:s medlemsländer ger till FN. I redovisningen nedan presenteras siffror för de länder som ingå</w:t>
      </w:r>
      <w:r w:rsidR="00742542">
        <w:t>r</w:t>
      </w:r>
      <w:r w:rsidR="000E4165">
        <w:t xml:space="preserve"> i OECD:s biståndskommitté, DAC</w:t>
      </w:r>
      <w:r w:rsidR="009A620E">
        <w:rPr>
          <w:rStyle w:val="Fotnotsreferens"/>
        </w:rPr>
        <w:footnoteReference w:id="14"/>
      </w:r>
      <w:r w:rsidR="000E4165">
        <w:t>.</w:t>
      </w:r>
    </w:p>
    <w:p w14:paraId="3F626E51" w14:textId="501B79F3" w:rsidR="00E4507D" w:rsidRDefault="00E4507D" w:rsidP="00CF0644">
      <w:r w:rsidRPr="00640E2A">
        <w:t>Notera att siffrorna redovisar vilka DAC-länder som ger mest bistånd till FN, inte vilka länder i världen som ger mest pengar till FN. Kina är till exempel inte medlem i organisationen OECD.</w:t>
      </w:r>
    </w:p>
    <w:p w14:paraId="6A89515F" w14:textId="77777777" w:rsidR="000E4165" w:rsidRDefault="00C92AD4" w:rsidP="00CF0644">
      <w:r>
        <w:t>Uppgifterna från OECD innefattar grundstöd (</w:t>
      </w:r>
      <w:r w:rsidR="00CA163B">
        <w:t>kärnstöd</w:t>
      </w:r>
      <w:r>
        <w:t>)</w:t>
      </w:r>
      <w:r w:rsidR="00CA163B">
        <w:t xml:space="preserve"> och</w:t>
      </w:r>
      <w:r>
        <w:t xml:space="preserve"> övrigt stöd</w:t>
      </w:r>
      <w:r w:rsidR="00CA163B">
        <w:t xml:space="preserve"> </w:t>
      </w:r>
      <w:r>
        <w:t>(</w:t>
      </w:r>
      <w:r w:rsidR="00CA163B">
        <w:t>multi-bi</w:t>
      </w:r>
      <w:r>
        <w:t>)</w:t>
      </w:r>
      <w:r w:rsidR="00CA163B">
        <w:t xml:space="preserve">. Medlemsavgifter och andra typer av stöd som inte är bistånd är inte inräknat i tabellen. </w:t>
      </w:r>
    </w:p>
    <w:p w14:paraId="42DC4362" w14:textId="476DED89" w:rsidR="00CA163B" w:rsidRDefault="00CA163B" w:rsidP="00CF0644">
      <w:r>
        <w:t xml:space="preserve">I </w:t>
      </w:r>
      <w:r w:rsidR="00A71B16">
        <w:t>t</w:t>
      </w:r>
      <w:r>
        <w:t xml:space="preserve">abell </w:t>
      </w:r>
      <w:r w:rsidR="00EA3C14" w:rsidRPr="00742542">
        <w:t>4</w:t>
      </w:r>
      <w:r>
        <w:t xml:space="preserve"> och </w:t>
      </w:r>
      <w:r w:rsidR="00A71B16">
        <w:t>d</w:t>
      </w:r>
      <w:r>
        <w:t xml:space="preserve">iagram 2 presenteras det totala biståndet i </w:t>
      </w:r>
      <w:r w:rsidR="00C92AD4">
        <w:t>m</w:t>
      </w:r>
      <w:r>
        <w:t xml:space="preserve">iljoner US dollar. Sett till faktiskt belopp </w:t>
      </w:r>
      <w:r w:rsidR="00C40C1E">
        <w:t>va</w:t>
      </w:r>
      <w:r>
        <w:t xml:space="preserve">r </w:t>
      </w:r>
      <w:r w:rsidR="003D2408">
        <w:t>USA</w:t>
      </w:r>
      <w:r>
        <w:t xml:space="preserve">, Tyskland och Storbritannien de största givarna 2018. Sverige </w:t>
      </w:r>
      <w:r w:rsidR="00C40C1E">
        <w:t>va</w:t>
      </w:r>
      <w:r>
        <w:t xml:space="preserve">r den fjärde största biståndsgivaren. </w:t>
      </w:r>
      <w:r w:rsidR="00742542">
        <w:t xml:space="preserve">Sveriges färg i </w:t>
      </w:r>
      <w:r w:rsidR="00C40C1E">
        <w:t>d</w:t>
      </w:r>
      <w:r w:rsidR="00742542">
        <w:t xml:space="preserve">iagram 2 är </w:t>
      </w:r>
      <w:r w:rsidR="00017C7D">
        <w:lastRenderedPageBreak/>
        <w:t>ljusblå</w:t>
      </w:r>
      <w:r w:rsidR="00742542">
        <w:t>.</w:t>
      </w:r>
      <w:r w:rsidR="00017C7D">
        <w:t xml:space="preserve"> I diagra</w:t>
      </w:r>
      <w:r w:rsidR="00826A50">
        <w:t>m2</w:t>
      </w:r>
      <w:r w:rsidR="00017C7D">
        <w:t xml:space="preserve"> presenteras de</w:t>
      </w:r>
      <w:r w:rsidR="00826A50">
        <w:t xml:space="preserve"> tio EU-medlemmar som var de största biståndsgivarna 2018, samt de två nordiska länderna som inte är med i EU.</w:t>
      </w:r>
    </w:p>
    <w:p w14:paraId="299B88B8" w14:textId="3156AE12" w:rsidR="00CA163B" w:rsidRDefault="00CA163B" w:rsidP="00CF0644">
      <w:r>
        <w:t xml:space="preserve">Tabell </w:t>
      </w:r>
      <w:r w:rsidR="00EA3C14" w:rsidRPr="00742542">
        <w:t>5</w:t>
      </w:r>
      <w:r>
        <w:t xml:space="preserve"> och </w:t>
      </w:r>
      <w:r w:rsidR="00A71B16">
        <w:t>d</w:t>
      </w:r>
      <w:r>
        <w:t xml:space="preserve">iagram 3 redovisar det totala biståndet i US dollar per capita. År 2018 var Norge, Luxemburg och Sverige de tre största givarländerna sett till belopp per capita. </w:t>
      </w:r>
      <w:r w:rsidR="00742542">
        <w:t xml:space="preserve">Sveriges färg i </w:t>
      </w:r>
      <w:r w:rsidR="00C40C1E">
        <w:t>d</w:t>
      </w:r>
      <w:r w:rsidR="00742542">
        <w:t xml:space="preserve">iagram 3 är </w:t>
      </w:r>
      <w:r w:rsidR="000A7FFD">
        <w:t>röd</w:t>
      </w:r>
      <w:r w:rsidR="00742542">
        <w:t xml:space="preserve">. </w:t>
      </w:r>
      <w:r w:rsidR="00826A50">
        <w:t xml:space="preserve">I diagram 3 presenteras de tio EU-medlemmar som var de största biståndsgivarna totalt sett 2018, samt de två nordiska länderna som inte är med i EU. Luxemburg var en av de största givarna sett till per capita men i och med att de i biståndssumma inte tillhör de som är en av de tio EU-länder som ger mest bistånd är de inte med i diagrammet. </w:t>
      </w:r>
    </w:p>
    <w:p w14:paraId="657B6E16" w14:textId="4B3B24BF" w:rsidR="009A620E" w:rsidRDefault="009A620E" w:rsidP="00CF0644"/>
    <w:p w14:paraId="4FCCCB9E" w14:textId="77777777" w:rsidR="009A620E" w:rsidRPr="00CF0644" w:rsidRDefault="009A620E" w:rsidP="00CF0644"/>
    <w:p w14:paraId="611CF76E" w14:textId="3C12B7CC" w:rsidR="00A668C2" w:rsidRPr="00140CF6" w:rsidRDefault="00A668C2" w:rsidP="00A668C2">
      <w:pPr>
        <w:rPr>
          <w:b/>
          <w:i/>
        </w:rPr>
      </w:pPr>
      <w:r w:rsidRPr="00140CF6">
        <w:rPr>
          <w:b/>
          <w:i/>
        </w:rPr>
        <w:t xml:space="preserve">Tabell </w:t>
      </w:r>
      <w:r w:rsidR="00EA3C14" w:rsidRPr="00140CF6">
        <w:rPr>
          <w:b/>
          <w:i/>
        </w:rPr>
        <w:t>4</w:t>
      </w:r>
      <w:r w:rsidR="00E443AE">
        <w:rPr>
          <w:b/>
          <w:i/>
        </w:rPr>
        <w:t>:</w:t>
      </w:r>
      <w:r w:rsidRPr="00140CF6">
        <w:rPr>
          <w:b/>
          <w:i/>
        </w:rPr>
        <w:t xml:space="preserve"> Totalt bistånd i MUSD</w:t>
      </w:r>
      <w:r w:rsidR="00E443AE">
        <w:rPr>
          <w:b/>
          <w:i/>
        </w:rPr>
        <w:t xml:space="preserve">, </w:t>
      </w:r>
      <w:r w:rsidRPr="00140CF6">
        <w:rPr>
          <w:b/>
          <w:i/>
        </w:rPr>
        <w:t>DAC-länder</w:t>
      </w:r>
      <w:r w:rsidR="00E443AE">
        <w:rPr>
          <w:b/>
          <w:i/>
        </w:rPr>
        <w:t>na</w:t>
      </w:r>
      <w:r w:rsidR="002935C4" w:rsidRPr="00140CF6">
        <w:rPr>
          <w:b/>
          <w:i/>
        </w:rPr>
        <w:t>, 2011–2018.</w:t>
      </w:r>
    </w:p>
    <w:tbl>
      <w:tblPr>
        <w:tblW w:w="9060" w:type="dxa"/>
        <w:tblCellMar>
          <w:left w:w="70" w:type="dxa"/>
          <w:right w:w="70" w:type="dxa"/>
        </w:tblCellMar>
        <w:tblLook w:val="04A0" w:firstRow="1" w:lastRow="0" w:firstColumn="1" w:lastColumn="0" w:noHBand="0" w:noVBand="1"/>
      </w:tblPr>
      <w:tblGrid>
        <w:gridCol w:w="1701"/>
        <w:gridCol w:w="639"/>
        <w:gridCol w:w="960"/>
        <w:gridCol w:w="960"/>
        <w:gridCol w:w="960"/>
        <w:gridCol w:w="960"/>
        <w:gridCol w:w="960"/>
        <w:gridCol w:w="960"/>
        <w:gridCol w:w="960"/>
      </w:tblGrid>
      <w:tr w:rsidR="00A668C2" w:rsidRPr="00A668C2" w14:paraId="105D605A" w14:textId="77777777" w:rsidTr="006667F3">
        <w:trPr>
          <w:trHeight w:val="255"/>
        </w:trPr>
        <w:tc>
          <w:tcPr>
            <w:tcW w:w="1701" w:type="dxa"/>
            <w:tcBorders>
              <w:top w:val="single" w:sz="4" w:space="0" w:color="auto"/>
              <w:left w:val="nil"/>
              <w:bottom w:val="single" w:sz="4" w:space="0" w:color="auto"/>
              <w:right w:val="nil"/>
            </w:tcBorders>
            <w:shd w:val="clear" w:color="auto" w:fill="auto"/>
            <w:noWrap/>
            <w:vAlign w:val="bottom"/>
            <w:hideMark/>
          </w:tcPr>
          <w:p w14:paraId="51BA78C7" w14:textId="77777777" w:rsidR="00A668C2" w:rsidRPr="00A668C2" w:rsidRDefault="00A668C2" w:rsidP="00A668C2">
            <w:pPr>
              <w:tabs>
                <w:tab w:val="clear" w:pos="284"/>
              </w:tabs>
              <w:spacing w:after="0" w:line="240" w:lineRule="auto"/>
              <w:rPr>
                <w:b/>
                <w:bCs/>
                <w:sz w:val="20"/>
                <w:szCs w:val="20"/>
              </w:rPr>
            </w:pPr>
            <w:r w:rsidRPr="00A668C2">
              <w:rPr>
                <w:b/>
                <w:bCs/>
                <w:sz w:val="20"/>
                <w:szCs w:val="20"/>
              </w:rPr>
              <w:t> </w:t>
            </w:r>
          </w:p>
        </w:tc>
        <w:tc>
          <w:tcPr>
            <w:tcW w:w="639" w:type="dxa"/>
            <w:tcBorders>
              <w:top w:val="single" w:sz="4" w:space="0" w:color="auto"/>
              <w:left w:val="nil"/>
              <w:bottom w:val="single" w:sz="4" w:space="0" w:color="auto"/>
              <w:right w:val="nil"/>
            </w:tcBorders>
            <w:shd w:val="clear" w:color="auto" w:fill="auto"/>
            <w:noWrap/>
            <w:vAlign w:val="bottom"/>
            <w:hideMark/>
          </w:tcPr>
          <w:p w14:paraId="79B83C7C" w14:textId="77777777" w:rsidR="00A668C2" w:rsidRPr="00A668C2" w:rsidRDefault="00A668C2" w:rsidP="00A668C2">
            <w:pPr>
              <w:tabs>
                <w:tab w:val="clear" w:pos="284"/>
              </w:tabs>
              <w:spacing w:after="0" w:line="240" w:lineRule="auto"/>
              <w:jc w:val="right"/>
              <w:rPr>
                <w:b/>
                <w:bCs/>
                <w:sz w:val="20"/>
                <w:szCs w:val="20"/>
              </w:rPr>
            </w:pPr>
            <w:r w:rsidRPr="00A668C2">
              <w:rPr>
                <w:b/>
                <w:bCs/>
                <w:sz w:val="20"/>
                <w:szCs w:val="20"/>
              </w:rPr>
              <w:t>2011</w:t>
            </w:r>
          </w:p>
        </w:tc>
        <w:tc>
          <w:tcPr>
            <w:tcW w:w="960" w:type="dxa"/>
            <w:tcBorders>
              <w:top w:val="single" w:sz="4" w:space="0" w:color="auto"/>
              <w:left w:val="nil"/>
              <w:bottom w:val="single" w:sz="4" w:space="0" w:color="auto"/>
              <w:right w:val="nil"/>
            </w:tcBorders>
            <w:shd w:val="clear" w:color="auto" w:fill="auto"/>
            <w:noWrap/>
            <w:vAlign w:val="bottom"/>
            <w:hideMark/>
          </w:tcPr>
          <w:p w14:paraId="2BF56B37" w14:textId="77777777" w:rsidR="00A668C2" w:rsidRPr="00A668C2" w:rsidRDefault="00A668C2" w:rsidP="00A668C2">
            <w:pPr>
              <w:tabs>
                <w:tab w:val="clear" w:pos="284"/>
              </w:tabs>
              <w:spacing w:after="0" w:line="240" w:lineRule="auto"/>
              <w:jc w:val="right"/>
              <w:rPr>
                <w:b/>
                <w:bCs/>
                <w:sz w:val="20"/>
                <w:szCs w:val="20"/>
              </w:rPr>
            </w:pPr>
            <w:r w:rsidRPr="00A668C2">
              <w:rPr>
                <w:b/>
                <w:bCs/>
                <w:sz w:val="20"/>
                <w:szCs w:val="20"/>
              </w:rPr>
              <w:t>2012</w:t>
            </w:r>
          </w:p>
        </w:tc>
        <w:tc>
          <w:tcPr>
            <w:tcW w:w="960" w:type="dxa"/>
            <w:tcBorders>
              <w:top w:val="single" w:sz="4" w:space="0" w:color="auto"/>
              <w:left w:val="nil"/>
              <w:bottom w:val="single" w:sz="4" w:space="0" w:color="auto"/>
              <w:right w:val="nil"/>
            </w:tcBorders>
            <w:shd w:val="clear" w:color="auto" w:fill="auto"/>
            <w:noWrap/>
            <w:vAlign w:val="bottom"/>
            <w:hideMark/>
          </w:tcPr>
          <w:p w14:paraId="011EF4BA" w14:textId="77777777" w:rsidR="00A668C2" w:rsidRPr="00A668C2" w:rsidRDefault="00A668C2" w:rsidP="00A668C2">
            <w:pPr>
              <w:tabs>
                <w:tab w:val="clear" w:pos="284"/>
              </w:tabs>
              <w:spacing w:after="0" w:line="240" w:lineRule="auto"/>
              <w:jc w:val="right"/>
              <w:rPr>
                <w:b/>
                <w:bCs/>
                <w:sz w:val="20"/>
                <w:szCs w:val="20"/>
              </w:rPr>
            </w:pPr>
            <w:r w:rsidRPr="00A668C2">
              <w:rPr>
                <w:b/>
                <w:bCs/>
                <w:sz w:val="20"/>
                <w:szCs w:val="20"/>
              </w:rPr>
              <w:t>2013</w:t>
            </w:r>
          </w:p>
        </w:tc>
        <w:tc>
          <w:tcPr>
            <w:tcW w:w="960" w:type="dxa"/>
            <w:tcBorders>
              <w:top w:val="single" w:sz="4" w:space="0" w:color="auto"/>
              <w:left w:val="nil"/>
              <w:bottom w:val="single" w:sz="4" w:space="0" w:color="auto"/>
              <w:right w:val="nil"/>
            </w:tcBorders>
            <w:shd w:val="clear" w:color="auto" w:fill="auto"/>
            <w:noWrap/>
            <w:vAlign w:val="bottom"/>
            <w:hideMark/>
          </w:tcPr>
          <w:p w14:paraId="1B9F2B96" w14:textId="77777777" w:rsidR="00A668C2" w:rsidRPr="00A668C2" w:rsidRDefault="00A668C2" w:rsidP="00A668C2">
            <w:pPr>
              <w:tabs>
                <w:tab w:val="clear" w:pos="284"/>
              </w:tabs>
              <w:spacing w:after="0" w:line="240" w:lineRule="auto"/>
              <w:jc w:val="right"/>
              <w:rPr>
                <w:b/>
                <w:bCs/>
                <w:sz w:val="20"/>
                <w:szCs w:val="20"/>
              </w:rPr>
            </w:pPr>
            <w:r w:rsidRPr="00A668C2">
              <w:rPr>
                <w:b/>
                <w:bCs/>
                <w:sz w:val="20"/>
                <w:szCs w:val="20"/>
              </w:rPr>
              <w:t>2014</w:t>
            </w:r>
          </w:p>
        </w:tc>
        <w:tc>
          <w:tcPr>
            <w:tcW w:w="960" w:type="dxa"/>
            <w:tcBorders>
              <w:top w:val="single" w:sz="4" w:space="0" w:color="auto"/>
              <w:left w:val="nil"/>
              <w:bottom w:val="single" w:sz="4" w:space="0" w:color="auto"/>
              <w:right w:val="nil"/>
            </w:tcBorders>
            <w:shd w:val="clear" w:color="auto" w:fill="auto"/>
            <w:noWrap/>
            <w:vAlign w:val="bottom"/>
            <w:hideMark/>
          </w:tcPr>
          <w:p w14:paraId="4457CCD2" w14:textId="77777777" w:rsidR="00A668C2" w:rsidRPr="00A668C2" w:rsidRDefault="00A668C2" w:rsidP="00A668C2">
            <w:pPr>
              <w:tabs>
                <w:tab w:val="clear" w:pos="284"/>
              </w:tabs>
              <w:spacing w:after="0" w:line="240" w:lineRule="auto"/>
              <w:jc w:val="right"/>
              <w:rPr>
                <w:b/>
                <w:bCs/>
                <w:sz w:val="20"/>
                <w:szCs w:val="20"/>
              </w:rPr>
            </w:pPr>
            <w:r w:rsidRPr="00A668C2">
              <w:rPr>
                <w:b/>
                <w:bCs/>
                <w:sz w:val="20"/>
                <w:szCs w:val="20"/>
              </w:rPr>
              <w:t>2015</w:t>
            </w:r>
          </w:p>
        </w:tc>
        <w:tc>
          <w:tcPr>
            <w:tcW w:w="960" w:type="dxa"/>
            <w:tcBorders>
              <w:top w:val="single" w:sz="4" w:space="0" w:color="auto"/>
              <w:left w:val="nil"/>
              <w:bottom w:val="single" w:sz="4" w:space="0" w:color="auto"/>
              <w:right w:val="nil"/>
            </w:tcBorders>
            <w:shd w:val="clear" w:color="auto" w:fill="auto"/>
            <w:noWrap/>
            <w:vAlign w:val="bottom"/>
            <w:hideMark/>
          </w:tcPr>
          <w:p w14:paraId="77596386" w14:textId="77777777" w:rsidR="00A668C2" w:rsidRPr="00A668C2" w:rsidRDefault="00A668C2" w:rsidP="00A668C2">
            <w:pPr>
              <w:tabs>
                <w:tab w:val="clear" w:pos="284"/>
              </w:tabs>
              <w:spacing w:after="0" w:line="240" w:lineRule="auto"/>
              <w:jc w:val="right"/>
              <w:rPr>
                <w:b/>
                <w:bCs/>
                <w:sz w:val="20"/>
                <w:szCs w:val="20"/>
              </w:rPr>
            </w:pPr>
            <w:r w:rsidRPr="00A668C2">
              <w:rPr>
                <w:b/>
                <w:bCs/>
                <w:sz w:val="20"/>
                <w:szCs w:val="20"/>
              </w:rPr>
              <w:t>2016</w:t>
            </w:r>
          </w:p>
        </w:tc>
        <w:tc>
          <w:tcPr>
            <w:tcW w:w="960" w:type="dxa"/>
            <w:tcBorders>
              <w:top w:val="single" w:sz="4" w:space="0" w:color="auto"/>
              <w:left w:val="nil"/>
              <w:bottom w:val="single" w:sz="4" w:space="0" w:color="auto"/>
              <w:right w:val="nil"/>
            </w:tcBorders>
            <w:shd w:val="clear" w:color="auto" w:fill="auto"/>
            <w:noWrap/>
            <w:vAlign w:val="bottom"/>
            <w:hideMark/>
          </w:tcPr>
          <w:p w14:paraId="3B4BFBEC" w14:textId="77777777" w:rsidR="00A668C2" w:rsidRPr="00A668C2" w:rsidRDefault="00A668C2" w:rsidP="00A668C2">
            <w:pPr>
              <w:tabs>
                <w:tab w:val="clear" w:pos="284"/>
              </w:tabs>
              <w:spacing w:after="0" w:line="240" w:lineRule="auto"/>
              <w:jc w:val="right"/>
              <w:rPr>
                <w:b/>
                <w:bCs/>
                <w:sz w:val="20"/>
                <w:szCs w:val="20"/>
              </w:rPr>
            </w:pPr>
            <w:r w:rsidRPr="00A668C2">
              <w:rPr>
                <w:b/>
                <w:bCs/>
                <w:sz w:val="20"/>
                <w:szCs w:val="20"/>
              </w:rPr>
              <w:t>2017</w:t>
            </w:r>
          </w:p>
        </w:tc>
        <w:tc>
          <w:tcPr>
            <w:tcW w:w="960" w:type="dxa"/>
            <w:tcBorders>
              <w:top w:val="single" w:sz="4" w:space="0" w:color="auto"/>
              <w:left w:val="nil"/>
              <w:bottom w:val="single" w:sz="4" w:space="0" w:color="auto"/>
              <w:right w:val="nil"/>
            </w:tcBorders>
            <w:shd w:val="clear" w:color="auto" w:fill="auto"/>
            <w:noWrap/>
            <w:vAlign w:val="bottom"/>
            <w:hideMark/>
          </w:tcPr>
          <w:p w14:paraId="6D0C6A78" w14:textId="77777777" w:rsidR="00A668C2" w:rsidRPr="00A668C2" w:rsidRDefault="00A668C2" w:rsidP="00A668C2">
            <w:pPr>
              <w:tabs>
                <w:tab w:val="clear" w:pos="284"/>
              </w:tabs>
              <w:spacing w:after="0" w:line="240" w:lineRule="auto"/>
              <w:jc w:val="right"/>
              <w:rPr>
                <w:b/>
                <w:bCs/>
                <w:sz w:val="20"/>
                <w:szCs w:val="20"/>
              </w:rPr>
            </w:pPr>
            <w:r w:rsidRPr="00A668C2">
              <w:rPr>
                <w:b/>
                <w:bCs/>
                <w:sz w:val="20"/>
                <w:szCs w:val="20"/>
              </w:rPr>
              <w:t>2018</w:t>
            </w:r>
          </w:p>
        </w:tc>
      </w:tr>
      <w:tr w:rsidR="00A668C2" w:rsidRPr="00A668C2" w14:paraId="70687D0B" w14:textId="77777777" w:rsidTr="006667F3">
        <w:trPr>
          <w:trHeight w:val="255"/>
        </w:trPr>
        <w:tc>
          <w:tcPr>
            <w:tcW w:w="1701" w:type="dxa"/>
            <w:tcBorders>
              <w:top w:val="nil"/>
              <w:left w:val="nil"/>
              <w:bottom w:val="nil"/>
              <w:right w:val="nil"/>
            </w:tcBorders>
            <w:shd w:val="clear" w:color="auto" w:fill="auto"/>
            <w:noWrap/>
            <w:vAlign w:val="bottom"/>
            <w:hideMark/>
          </w:tcPr>
          <w:p w14:paraId="69461FC1" w14:textId="77777777" w:rsidR="00A668C2" w:rsidRPr="00A668C2" w:rsidRDefault="00A668C2" w:rsidP="00A668C2">
            <w:pPr>
              <w:tabs>
                <w:tab w:val="clear" w:pos="284"/>
              </w:tabs>
              <w:spacing w:after="0" w:line="240" w:lineRule="auto"/>
              <w:rPr>
                <w:sz w:val="20"/>
                <w:szCs w:val="20"/>
              </w:rPr>
            </w:pPr>
            <w:r w:rsidRPr="00A668C2">
              <w:rPr>
                <w:sz w:val="20"/>
                <w:szCs w:val="20"/>
              </w:rPr>
              <w:t>United States</w:t>
            </w:r>
          </w:p>
        </w:tc>
        <w:tc>
          <w:tcPr>
            <w:tcW w:w="639" w:type="dxa"/>
            <w:tcBorders>
              <w:top w:val="nil"/>
              <w:left w:val="nil"/>
              <w:bottom w:val="nil"/>
              <w:right w:val="nil"/>
            </w:tcBorders>
            <w:shd w:val="clear" w:color="auto" w:fill="auto"/>
            <w:noWrap/>
            <w:vAlign w:val="bottom"/>
            <w:hideMark/>
          </w:tcPr>
          <w:p w14:paraId="423D1EC2" w14:textId="77777777" w:rsidR="00A668C2" w:rsidRPr="00A668C2" w:rsidRDefault="00A668C2" w:rsidP="00A668C2">
            <w:pPr>
              <w:tabs>
                <w:tab w:val="clear" w:pos="284"/>
              </w:tabs>
              <w:spacing w:after="0" w:line="240" w:lineRule="auto"/>
              <w:jc w:val="right"/>
              <w:rPr>
                <w:sz w:val="20"/>
                <w:szCs w:val="20"/>
              </w:rPr>
            </w:pPr>
            <w:r w:rsidRPr="00A668C2">
              <w:rPr>
                <w:sz w:val="20"/>
                <w:szCs w:val="20"/>
              </w:rPr>
              <w:t>3 765</w:t>
            </w:r>
          </w:p>
        </w:tc>
        <w:tc>
          <w:tcPr>
            <w:tcW w:w="960" w:type="dxa"/>
            <w:tcBorders>
              <w:top w:val="nil"/>
              <w:left w:val="nil"/>
              <w:bottom w:val="nil"/>
              <w:right w:val="nil"/>
            </w:tcBorders>
            <w:shd w:val="clear" w:color="auto" w:fill="auto"/>
            <w:noWrap/>
            <w:vAlign w:val="bottom"/>
            <w:hideMark/>
          </w:tcPr>
          <w:p w14:paraId="3DD1C4AE" w14:textId="77777777" w:rsidR="00A668C2" w:rsidRPr="00A668C2" w:rsidRDefault="00A668C2" w:rsidP="00A668C2">
            <w:pPr>
              <w:tabs>
                <w:tab w:val="clear" w:pos="284"/>
              </w:tabs>
              <w:spacing w:after="0" w:line="240" w:lineRule="auto"/>
              <w:jc w:val="right"/>
              <w:rPr>
                <w:sz w:val="20"/>
                <w:szCs w:val="20"/>
              </w:rPr>
            </w:pPr>
            <w:r w:rsidRPr="00A668C2">
              <w:rPr>
                <w:sz w:val="20"/>
                <w:szCs w:val="20"/>
              </w:rPr>
              <w:t>3 858</w:t>
            </w:r>
          </w:p>
        </w:tc>
        <w:tc>
          <w:tcPr>
            <w:tcW w:w="960" w:type="dxa"/>
            <w:tcBorders>
              <w:top w:val="nil"/>
              <w:left w:val="nil"/>
              <w:bottom w:val="nil"/>
              <w:right w:val="nil"/>
            </w:tcBorders>
            <w:shd w:val="clear" w:color="auto" w:fill="auto"/>
            <w:noWrap/>
            <w:vAlign w:val="bottom"/>
            <w:hideMark/>
          </w:tcPr>
          <w:p w14:paraId="337316A3" w14:textId="77777777" w:rsidR="00A668C2" w:rsidRPr="00A668C2" w:rsidRDefault="00A668C2" w:rsidP="00A668C2">
            <w:pPr>
              <w:tabs>
                <w:tab w:val="clear" w:pos="284"/>
              </w:tabs>
              <w:spacing w:after="0" w:line="240" w:lineRule="auto"/>
              <w:jc w:val="right"/>
              <w:rPr>
                <w:sz w:val="20"/>
                <w:szCs w:val="20"/>
              </w:rPr>
            </w:pPr>
            <w:r w:rsidRPr="00A668C2">
              <w:rPr>
                <w:sz w:val="20"/>
                <w:szCs w:val="20"/>
              </w:rPr>
              <w:t>4 672</w:t>
            </w:r>
          </w:p>
        </w:tc>
        <w:tc>
          <w:tcPr>
            <w:tcW w:w="960" w:type="dxa"/>
            <w:tcBorders>
              <w:top w:val="nil"/>
              <w:left w:val="nil"/>
              <w:bottom w:val="nil"/>
              <w:right w:val="nil"/>
            </w:tcBorders>
            <w:shd w:val="clear" w:color="auto" w:fill="auto"/>
            <w:noWrap/>
            <w:vAlign w:val="bottom"/>
            <w:hideMark/>
          </w:tcPr>
          <w:p w14:paraId="6138335E" w14:textId="77777777" w:rsidR="00A668C2" w:rsidRPr="00A668C2" w:rsidRDefault="00A668C2" w:rsidP="00A668C2">
            <w:pPr>
              <w:tabs>
                <w:tab w:val="clear" w:pos="284"/>
              </w:tabs>
              <w:spacing w:after="0" w:line="240" w:lineRule="auto"/>
              <w:jc w:val="right"/>
              <w:rPr>
                <w:sz w:val="20"/>
                <w:szCs w:val="20"/>
              </w:rPr>
            </w:pPr>
            <w:r w:rsidRPr="00A668C2">
              <w:rPr>
                <w:sz w:val="20"/>
                <w:szCs w:val="20"/>
              </w:rPr>
              <w:t>5 570</w:t>
            </w:r>
          </w:p>
        </w:tc>
        <w:tc>
          <w:tcPr>
            <w:tcW w:w="960" w:type="dxa"/>
            <w:tcBorders>
              <w:top w:val="nil"/>
              <w:left w:val="nil"/>
              <w:bottom w:val="nil"/>
              <w:right w:val="nil"/>
            </w:tcBorders>
            <w:shd w:val="clear" w:color="auto" w:fill="auto"/>
            <w:noWrap/>
            <w:vAlign w:val="bottom"/>
            <w:hideMark/>
          </w:tcPr>
          <w:p w14:paraId="44179A47" w14:textId="77777777" w:rsidR="00A668C2" w:rsidRPr="00A668C2" w:rsidRDefault="00A668C2" w:rsidP="00A668C2">
            <w:pPr>
              <w:tabs>
                <w:tab w:val="clear" w:pos="284"/>
              </w:tabs>
              <w:spacing w:after="0" w:line="240" w:lineRule="auto"/>
              <w:jc w:val="right"/>
              <w:rPr>
                <w:sz w:val="20"/>
                <w:szCs w:val="20"/>
              </w:rPr>
            </w:pPr>
            <w:r w:rsidRPr="00A668C2">
              <w:rPr>
                <w:sz w:val="20"/>
                <w:szCs w:val="20"/>
              </w:rPr>
              <w:t>5 400</w:t>
            </w:r>
          </w:p>
        </w:tc>
        <w:tc>
          <w:tcPr>
            <w:tcW w:w="960" w:type="dxa"/>
            <w:tcBorders>
              <w:top w:val="nil"/>
              <w:left w:val="nil"/>
              <w:bottom w:val="nil"/>
              <w:right w:val="nil"/>
            </w:tcBorders>
            <w:shd w:val="clear" w:color="auto" w:fill="auto"/>
            <w:noWrap/>
            <w:vAlign w:val="bottom"/>
            <w:hideMark/>
          </w:tcPr>
          <w:p w14:paraId="58867CAB" w14:textId="77777777" w:rsidR="00A668C2" w:rsidRPr="00A668C2" w:rsidRDefault="00A668C2" w:rsidP="00A668C2">
            <w:pPr>
              <w:tabs>
                <w:tab w:val="clear" w:pos="284"/>
              </w:tabs>
              <w:spacing w:after="0" w:line="240" w:lineRule="auto"/>
              <w:jc w:val="right"/>
              <w:rPr>
                <w:sz w:val="20"/>
                <w:szCs w:val="20"/>
              </w:rPr>
            </w:pPr>
            <w:r w:rsidRPr="00A668C2">
              <w:rPr>
                <w:sz w:val="20"/>
                <w:szCs w:val="20"/>
              </w:rPr>
              <w:t>5 453</w:t>
            </w:r>
          </w:p>
        </w:tc>
        <w:tc>
          <w:tcPr>
            <w:tcW w:w="960" w:type="dxa"/>
            <w:tcBorders>
              <w:top w:val="nil"/>
              <w:left w:val="nil"/>
              <w:bottom w:val="nil"/>
              <w:right w:val="nil"/>
            </w:tcBorders>
            <w:shd w:val="clear" w:color="auto" w:fill="auto"/>
            <w:noWrap/>
            <w:vAlign w:val="bottom"/>
            <w:hideMark/>
          </w:tcPr>
          <w:p w14:paraId="3A699505" w14:textId="77777777" w:rsidR="00A668C2" w:rsidRPr="00A668C2" w:rsidRDefault="00A668C2" w:rsidP="00A668C2">
            <w:pPr>
              <w:tabs>
                <w:tab w:val="clear" w:pos="284"/>
              </w:tabs>
              <w:spacing w:after="0" w:line="240" w:lineRule="auto"/>
              <w:jc w:val="right"/>
              <w:rPr>
                <w:sz w:val="20"/>
                <w:szCs w:val="20"/>
              </w:rPr>
            </w:pPr>
            <w:r w:rsidRPr="00A668C2">
              <w:rPr>
                <w:sz w:val="20"/>
                <w:szCs w:val="20"/>
              </w:rPr>
              <w:t>6 293</w:t>
            </w:r>
          </w:p>
        </w:tc>
        <w:tc>
          <w:tcPr>
            <w:tcW w:w="960" w:type="dxa"/>
            <w:tcBorders>
              <w:top w:val="nil"/>
              <w:left w:val="nil"/>
              <w:bottom w:val="nil"/>
              <w:right w:val="nil"/>
            </w:tcBorders>
            <w:shd w:val="clear" w:color="auto" w:fill="auto"/>
            <w:noWrap/>
            <w:vAlign w:val="bottom"/>
            <w:hideMark/>
          </w:tcPr>
          <w:p w14:paraId="7F86C60A" w14:textId="77777777" w:rsidR="00A668C2" w:rsidRPr="00A668C2" w:rsidRDefault="00A668C2" w:rsidP="00A668C2">
            <w:pPr>
              <w:tabs>
                <w:tab w:val="clear" w:pos="284"/>
              </w:tabs>
              <w:spacing w:after="0" w:line="240" w:lineRule="auto"/>
              <w:jc w:val="right"/>
              <w:rPr>
                <w:sz w:val="20"/>
                <w:szCs w:val="20"/>
              </w:rPr>
            </w:pPr>
            <w:r w:rsidRPr="00A668C2">
              <w:rPr>
                <w:sz w:val="20"/>
                <w:szCs w:val="20"/>
              </w:rPr>
              <w:t>6 812</w:t>
            </w:r>
          </w:p>
        </w:tc>
      </w:tr>
      <w:tr w:rsidR="00A668C2" w:rsidRPr="00A668C2" w14:paraId="09A63989" w14:textId="77777777" w:rsidTr="006667F3">
        <w:trPr>
          <w:trHeight w:val="255"/>
        </w:trPr>
        <w:tc>
          <w:tcPr>
            <w:tcW w:w="1701" w:type="dxa"/>
            <w:tcBorders>
              <w:top w:val="nil"/>
              <w:left w:val="nil"/>
              <w:bottom w:val="nil"/>
              <w:right w:val="nil"/>
            </w:tcBorders>
            <w:shd w:val="clear" w:color="auto" w:fill="auto"/>
            <w:noWrap/>
            <w:vAlign w:val="bottom"/>
            <w:hideMark/>
          </w:tcPr>
          <w:p w14:paraId="7392024F" w14:textId="77777777" w:rsidR="00A668C2" w:rsidRPr="00A668C2" w:rsidRDefault="00A668C2" w:rsidP="00A668C2">
            <w:pPr>
              <w:tabs>
                <w:tab w:val="clear" w:pos="284"/>
              </w:tabs>
              <w:spacing w:after="0" w:line="240" w:lineRule="auto"/>
              <w:rPr>
                <w:sz w:val="20"/>
                <w:szCs w:val="20"/>
              </w:rPr>
            </w:pPr>
            <w:r w:rsidRPr="00A668C2">
              <w:rPr>
                <w:sz w:val="20"/>
                <w:szCs w:val="20"/>
              </w:rPr>
              <w:t>Germany</w:t>
            </w:r>
          </w:p>
        </w:tc>
        <w:tc>
          <w:tcPr>
            <w:tcW w:w="639" w:type="dxa"/>
            <w:tcBorders>
              <w:top w:val="nil"/>
              <w:left w:val="nil"/>
              <w:bottom w:val="nil"/>
              <w:right w:val="nil"/>
            </w:tcBorders>
            <w:shd w:val="clear" w:color="auto" w:fill="auto"/>
            <w:noWrap/>
            <w:vAlign w:val="bottom"/>
            <w:hideMark/>
          </w:tcPr>
          <w:p w14:paraId="436F7F85" w14:textId="77777777" w:rsidR="00A668C2" w:rsidRPr="00A668C2" w:rsidRDefault="00A668C2" w:rsidP="00A668C2">
            <w:pPr>
              <w:tabs>
                <w:tab w:val="clear" w:pos="284"/>
              </w:tabs>
              <w:spacing w:after="0" w:line="240" w:lineRule="auto"/>
              <w:jc w:val="right"/>
              <w:rPr>
                <w:sz w:val="20"/>
                <w:szCs w:val="20"/>
              </w:rPr>
            </w:pPr>
            <w:r w:rsidRPr="00A668C2">
              <w:rPr>
                <w:sz w:val="20"/>
                <w:szCs w:val="20"/>
              </w:rPr>
              <w:t>563</w:t>
            </w:r>
          </w:p>
        </w:tc>
        <w:tc>
          <w:tcPr>
            <w:tcW w:w="960" w:type="dxa"/>
            <w:tcBorders>
              <w:top w:val="nil"/>
              <w:left w:val="nil"/>
              <w:bottom w:val="nil"/>
              <w:right w:val="nil"/>
            </w:tcBorders>
            <w:shd w:val="clear" w:color="auto" w:fill="auto"/>
            <w:noWrap/>
            <w:vAlign w:val="bottom"/>
            <w:hideMark/>
          </w:tcPr>
          <w:p w14:paraId="277BDDAC" w14:textId="77777777" w:rsidR="00A668C2" w:rsidRPr="00A668C2" w:rsidRDefault="00A668C2" w:rsidP="00A668C2">
            <w:pPr>
              <w:tabs>
                <w:tab w:val="clear" w:pos="284"/>
              </w:tabs>
              <w:spacing w:after="0" w:line="240" w:lineRule="auto"/>
              <w:jc w:val="right"/>
              <w:rPr>
                <w:sz w:val="20"/>
                <w:szCs w:val="20"/>
              </w:rPr>
            </w:pPr>
            <w:r w:rsidRPr="00A668C2">
              <w:rPr>
                <w:sz w:val="20"/>
                <w:szCs w:val="20"/>
              </w:rPr>
              <w:t>519</w:t>
            </w:r>
          </w:p>
        </w:tc>
        <w:tc>
          <w:tcPr>
            <w:tcW w:w="960" w:type="dxa"/>
            <w:tcBorders>
              <w:top w:val="nil"/>
              <w:left w:val="nil"/>
              <w:bottom w:val="nil"/>
              <w:right w:val="nil"/>
            </w:tcBorders>
            <w:shd w:val="clear" w:color="auto" w:fill="auto"/>
            <w:noWrap/>
            <w:vAlign w:val="bottom"/>
            <w:hideMark/>
          </w:tcPr>
          <w:p w14:paraId="55F3C67B" w14:textId="77777777" w:rsidR="00A668C2" w:rsidRPr="00A668C2" w:rsidRDefault="00A668C2" w:rsidP="00A668C2">
            <w:pPr>
              <w:tabs>
                <w:tab w:val="clear" w:pos="284"/>
              </w:tabs>
              <w:spacing w:after="0" w:line="240" w:lineRule="auto"/>
              <w:jc w:val="right"/>
              <w:rPr>
                <w:sz w:val="20"/>
                <w:szCs w:val="20"/>
              </w:rPr>
            </w:pPr>
            <w:r w:rsidRPr="00A668C2">
              <w:rPr>
                <w:sz w:val="20"/>
                <w:szCs w:val="20"/>
              </w:rPr>
              <w:t>785</w:t>
            </w:r>
          </w:p>
        </w:tc>
        <w:tc>
          <w:tcPr>
            <w:tcW w:w="960" w:type="dxa"/>
            <w:tcBorders>
              <w:top w:val="nil"/>
              <w:left w:val="nil"/>
              <w:bottom w:val="nil"/>
              <w:right w:val="nil"/>
            </w:tcBorders>
            <w:shd w:val="clear" w:color="auto" w:fill="auto"/>
            <w:noWrap/>
            <w:vAlign w:val="bottom"/>
            <w:hideMark/>
          </w:tcPr>
          <w:p w14:paraId="041242F7" w14:textId="77777777" w:rsidR="00A668C2" w:rsidRPr="00A668C2" w:rsidRDefault="00A668C2" w:rsidP="00A668C2">
            <w:pPr>
              <w:tabs>
                <w:tab w:val="clear" w:pos="284"/>
              </w:tabs>
              <w:spacing w:after="0" w:line="240" w:lineRule="auto"/>
              <w:jc w:val="right"/>
              <w:rPr>
                <w:sz w:val="20"/>
                <w:szCs w:val="20"/>
              </w:rPr>
            </w:pPr>
            <w:r w:rsidRPr="00A668C2">
              <w:rPr>
                <w:sz w:val="20"/>
                <w:szCs w:val="20"/>
              </w:rPr>
              <w:t>951</w:t>
            </w:r>
          </w:p>
        </w:tc>
        <w:tc>
          <w:tcPr>
            <w:tcW w:w="960" w:type="dxa"/>
            <w:tcBorders>
              <w:top w:val="nil"/>
              <w:left w:val="nil"/>
              <w:bottom w:val="nil"/>
              <w:right w:val="nil"/>
            </w:tcBorders>
            <w:shd w:val="clear" w:color="auto" w:fill="auto"/>
            <w:noWrap/>
            <w:vAlign w:val="bottom"/>
            <w:hideMark/>
          </w:tcPr>
          <w:p w14:paraId="4B9FAEE2" w14:textId="77777777" w:rsidR="00A668C2" w:rsidRPr="00A668C2" w:rsidRDefault="00A668C2" w:rsidP="00A668C2">
            <w:pPr>
              <w:tabs>
                <w:tab w:val="clear" w:pos="284"/>
              </w:tabs>
              <w:spacing w:after="0" w:line="240" w:lineRule="auto"/>
              <w:jc w:val="right"/>
              <w:rPr>
                <w:sz w:val="20"/>
                <w:szCs w:val="20"/>
              </w:rPr>
            </w:pPr>
            <w:r w:rsidRPr="00A668C2">
              <w:rPr>
                <w:sz w:val="20"/>
                <w:szCs w:val="20"/>
              </w:rPr>
              <w:t>991</w:t>
            </w:r>
          </w:p>
        </w:tc>
        <w:tc>
          <w:tcPr>
            <w:tcW w:w="960" w:type="dxa"/>
            <w:tcBorders>
              <w:top w:val="nil"/>
              <w:left w:val="nil"/>
              <w:bottom w:val="nil"/>
              <w:right w:val="nil"/>
            </w:tcBorders>
            <w:shd w:val="clear" w:color="auto" w:fill="auto"/>
            <w:noWrap/>
            <w:vAlign w:val="bottom"/>
            <w:hideMark/>
          </w:tcPr>
          <w:p w14:paraId="4804F3EF" w14:textId="77777777" w:rsidR="00A668C2" w:rsidRPr="00A668C2" w:rsidRDefault="00A668C2" w:rsidP="00A668C2">
            <w:pPr>
              <w:tabs>
                <w:tab w:val="clear" w:pos="284"/>
              </w:tabs>
              <w:spacing w:after="0" w:line="240" w:lineRule="auto"/>
              <w:jc w:val="right"/>
              <w:rPr>
                <w:sz w:val="20"/>
                <w:szCs w:val="20"/>
              </w:rPr>
            </w:pPr>
            <w:r w:rsidRPr="00A668C2">
              <w:rPr>
                <w:sz w:val="20"/>
                <w:szCs w:val="20"/>
              </w:rPr>
              <w:t>2 529</w:t>
            </w:r>
          </w:p>
        </w:tc>
        <w:tc>
          <w:tcPr>
            <w:tcW w:w="960" w:type="dxa"/>
            <w:tcBorders>
              <w:top w:val="nil"/>
              <w:left w:val="nil"/>
              <w:bottom w:val="nil"/>
              <w:right w:val="nil"/>
            </w:tcBorders>
            <w:shd w:val="clear" w:color="auto" w:fill="auto"/>
            <w:noWrap/>
            <w:vAlign w:val="bottom"/>
            <w:hideMark/>
          </w:tcPr>
          <w:p w14:paraId="010EFDE1" w14:textId="77777777" w:rsidR="00A668C2" w:rsidRPr="00A668C2" w:rsidRDefault="00A668C2" w:rsidP="00A668C2">
            <w:pPr>
              <w:tabs>
                <w:tab w:val="clear" w:pos="284"/>
              </w:tabs>
              <w:spacing w:after="0" w:line="240" w:lineRule="auto"/>
              <w:jc w:val="right"/>
              <w:rPr>
                <w:sz w:val="20"/>
                <w:szCs w:val="20"/>
              </w:rPr>
            </w:pPr>
            <w:r w:rsidRPr="00A668C2">
              <w:rPr>
                <w:sz w:val="20"/>
                <w:szCs w:val="20"/>
              </w:rPr>
              <w:t>3 093</w:t>
            </w:r>
          </w:p>
        </w:tc>
        <w:tc>
          <w:tcPr>
            <w:tcW w:w="960" w:type="dxa"/>
            <w:tcBorders>
              <w:top w:val="nil"/>
              <w:left w:val="nil"/>
              <w:bottom w:val="nil"/>
              <w:right w:val="nil"/>
            </w:tcBorders>
            <w:shd w:val="clear" w:color="auto" w:fill="auto"/>
            <w:noWrap/>
            <w:vAlign w:val="bottom"/>
            <w:hideMark/>
          </w:tcPr>
          <w:p w14:paraId="372E635A" w14:textId="77777777" w:rsidR="00A668C2" w:rsidRPr="00A668C2" w:rsidRDefault="00A668C2" w:rsidP="00A668C2">
            <w:pPr>
              <w:tabs>
                <w:tab w:val="clear" w:pos="284"/>
              </w:tabs>
              <w:spacing w:after="0" w:line="240" w:lineRule="auto"/>
              <w:jc w:val="right"/>
              <w:rPr>
                <w:sz w:val="20"/>
                <w:szCs w:val="20"/>
              </w:rPr>
            </w:pPr>
            <w:r w:rsidRPr="00A668C2">
              <w:rPr>
                <w:sz w:val="20"/>
                <w:szCs w:val="20"/>
              </w:rPr>
              <w:t>3 168</w:t>
            </w:r>
          </w:p>
        </w:tc>
      </w:tr>
      <w:tr w:rsidR="00A668C2" w:rsidRPr="00A668C2" w14:paraId="319C62FF" w14:textId="77777777" w:rsidTr="006667F3">
        <w:trPr>
          <w:trHeight w:val="255"/>
        </w:trPr>
        <w:tc>
          <w:tcPr>
            <w:tcW w:w="1701" w:type="dxa"/>
            <w:tcBorders>
              <w:top w:val="nil"/>
              <w:left w:val="nil"/>
              <w:bottom w:val="nil"/>
              <w:right w:val="nil"/>
            </w:tcBorders>
            <w:shd w:val="clear" w:color="auto" w:fill="auto"/>
            <w:noWrap/>
            <w:vAlign w:val="bottom"/>
            <w:hideMark/>
          </w:tcPr>
          <w:p w14:paraId="48F9E06F" w14:textId="77777777" w:rsidR="00A668C2" w:rsidRPr="00A668C2" w:rsidRDefault="00A668C2" w:rsidP="00A668C2">
            <w:pPr>
              <w:tabs>
                <w:tab w:val="clear" w:pos="284"/>
              </w:tabs>
              <w:spacing w:after="0" w:line="240" w:lineRule="auto"/>
              <w:rPr>
                <w:sz w:val="20"/>
                <w:szCs w:val="20"/>
              </w:rPr>
            </w:pPr>
            <w:r w:rsidRPr="00A668C2">
              <w:rPr>
                <w:sz w:val="20"/>
                <w:szCs w:val="20"/>
              </w:rPr>
              <w:t>United Kingdom</w:t>
            </w:r>
          </w:p>
        </w:tc>
        <w:tc>
          <w:tcPr>
            <w:tcW w:w="639" w:type="dxa"/>
            <w:tcBorders>
              <w:top w:val="nil"/>
              <w:left w:val="nil"/>
              <w:bottom w:val="nil"/>
              <w:right w:val="nil"/>
            </w:tcBorders>
            <w:shd w:val="clear" w:color="auto" w:fill="auto"/>
            <w:noWrap/>
            <w:vAlign w:val="bottom"/>
            <w:hideMark/>
          </w:tcPr>
          <w:p w14:paraId="3523EDD9" w14:textId="77777777" w:rsidR="00A668C2" w:rsidRPr="00A668C2" w:rsidRDefault="00A668C2" w:rsidP="00A668C2">
            <w:pPr>
              <w:tabs>
                <w:tab w:val="clear" w:pos="284"/>
              </w:tabs>
              <w:spacing w:after="0" w:line="240" w:lineRule="auto"/>
              <w:jc w:val="right"/>
              <w:rPr>
                <w:sz w:val="20"/>
                <w:szCs w:val="20"/>
              </w:rPr>
            </w:pPr>
            <w:r w:rsidRPr="00A668C2">
              <w:rPr>
                <w:sz w:val="20"/>
                <w:szCs w:val="20"/>
              </w:rPr>
              <w:t>2 047</w:t>
            </w:r>
          </w:p>
        </w:tc>
        <w:tc>
          <w:tcPr>
            <w:tcW w:w="960" w:type="dxa"/>
            <w:tcBorders>
              <w:top w:val="nil"/>
              <w:left w:val="nil"/>
              <w:bottom w:val="nil"/>
              <w:right w:val="nil"/>
            </w:tcBorders>
            <w:shd w:val="clear" w:color="auto" w:fill="auto"/>
            <w:noWrap/>
            <w:vAlign w:val="bottom"/>
            <w:hideMark/>
          </w:tcPr>
          <w:p w14:paraId="3E686A69" w14:textId="77777777" w:rsidR="00A668C2" w:rsidRPr="00A668C2" w:rsidRDefault="00A668C2" w:rsidP="00A668C2">
            <w:pPr>
              <w:tabs>
                <w:tab w:val="clear" w:pos="284"/>
              </w:tabs>
              <w:spacing w:after="0" w:line="240" w:lineRule="auto"/>
              <w:jc w:val="right"/>
              <w:rPr>
                <w:sz w:val="20"/>
                <w:szCs w:val="20"/>
              </w:rPr>
            </w:pPr>
            <w:r w:rsidRPr="00A668C2">
              <w:rPr>
                <w:sz w:val="20"/>
                <w:szCs w:val="20"/>
              </w:rPr>
              <w:t>1 881</w:t>
            </w:r>
          </w:p>
        </w:tc>
        <w:tc>
          <w:tcPr>
            <w:tcW w:w="960" w:type="dxa"/>
            <w:tcBorders>
              <w:top w:val="nil"/>
              <w:left w:val="nil"/>
              <w:bottom w:val="nil"/>
              <w:right w:val="nil"/>
            </w:tcBorders>
            <w:shd w:val="clear" w:color="auto" w:fill="auto"/>
            <w:noWrap/>
            <w:vAlign w:val="bottom"/>
            <w:hideMark/>
          </w:tcPr>
          <w:p w14:paraId="46C70A0C" w14:textId="77777777" w:rsidR="00A668C2" w:rsidRPr="00A668C2" w:rsidRDefault="00A668C2" w:rsidP="00A668C2">
            <w:pPr>
              <w:tabs>
                <w:tab w:val="clear" w:pos="284"/>
              </w:tabs>
              <w:spacing w:after="0" w:line="240" w:lineRule="auto"/>
              <w:jc w:val="right"/>
              <w:rPr>
                <w:sz w:val="20"/>
                <w:szCs w:val="20"/>
              </w:rPr>
            </w:pPr>
            <w:r w:rsidRPr="00A668C2">
              <w:rPr>
                <w:sz w:val="20"/>
                <w:szCs w:val="20"/>
              </w:rPr>
              <w:t>2 570</w:t>
            </w:r>
          </w:p>
        </w:tc>
        <w:tc>
          <w:tcPr>
            <w:tcW w:w="960" w:type="dxa"/>
            <w:tcBorders>
              <w:top w:val="nil"/>
              <w:left w:val="nil"/>
              <w:bottom w:val="nil"/>
              <w:right w:val="nil"/>
            </w:tcBorders>
            <w:shd w:val="clear" w:color="auto" w:fill="auto"/>
            <w:noWrap/>
            <w:vAlign w:val="bottom"/>
            <w:hideMark/>
          </w:tcPr>
          <w:p w14:paraId="5CD94846" w14:textId="77777777" w:rsidR="00A668C2" w:rsidRPr="00A668C2" w:rsidRDefault="00A668C2" w:rsidP="00A668C2">
            <w:pPr>
              <w:tabs>
                <w:tab w:val="clear" w:pos="284"/>
              </w:tabs>
              <w:spacing w:after="0" w:line="240" w:lineRule="auto"/>
              <w:jc w:val="right"/>
              <w:rPr>
                <w:sz w:val="20"/>
                <w:szCs w:val="20"/>
              </w:rPr>
            </w:pPr>
            <w:r w:rsidRPr="00A668C2">
              <w:rPr>
                <w:sz w:val="20"/>
                <w:szCs w:val="20"/>
              </w:rPr>
              <w:t>2 941</w:t>
            </w:r>
          </w:p>
        </w:tc>
        <w:tc>
          <w:tcPr>
            <w:tcW w:w="960" w:type="dxa"/>
            <w:tcBorders>
              <w:top w:val="nil"/>
              <w:left w:val="nil"/>
              <w:bottom w:val="nil"/>
              <w:right w:val="nil"/>
            </w:tcBorders>
            <w:shd w:val="clear" w:color="auto" w:fill="auto"/>
            <w:noWrap/>
            <w:vAlign w:val="bottom"/>
            <w:hideMark/>
          </w:tcPr>
          <w:p w14:paraId="16B67E13" w14:textId="77777777" w:rsidR="00A668C2" w:rsidRPr="00A668C2" w:rsidRDefault="00A668C2" w:rsidP="00A668C2">
            <w:pPr>
              <w:tabs>
                <w:tab w:val="clear" w:pos="284"/>
              </w:tabs>
              <w:spacing w:after="0" w:line="240" w:lineRule="auto"/>
              <w:jc w:val="right"/>
              <w:rPr>
                <w:sz w:val="20"/>
                <w:szCs w:val="20"/>
              </w:rPr>
            </w:pPr>
            <w:r w:rsidRPr="00A668C2">
              <w:rPr>
                <w:sz w:val="20"/>
                <w:szCs w:val="20"/>
              </w:rPr>
              <w:t>2 726</w:t>
            </w:r>
          </w:p>
        </w:tc>
        <w:tc>
          <w:tcPr>
            <w:tcW w:w="960" w:type="dxa"/>
            <w:tcBorders>
              <w:top w:val="nil"/>
              <w:left w:val="nil"/>
              <w:bottom w:val="nil"/>
              <w:right w:val="nil"/>
            </w:tcBorders>
            <w:shd w:val="clear" w:color="auto" w:fill="auto"/>
            <w:noWrap/>
            <w:vAlign w:val="bottom"/>
            <w:hideMark/>
          </w:tcPr>
          <w:p w14:paraId="720F4DCE" w14:textId="77777777" w:rsidR="00A668C2" w:rsidRPr="00A668C2" w:rsidRDefault="00A668C2" w:rsidP="00A668C2">
            <w:pPr>
              <w:tabs>
                <w:tab w:val="clear" w:pos="284"/>
              </w:tabs>
              <w:spacing w:after="0" w:line="240" w:lineRule="auto"/>
              <w:jc w:val="right"/>
              <w:rPr>
                <w:sz w:val="20"/>
                <w:szCs w:val="20"/>
              </w:rPr>
            </w:pPr>
            <w:r w:rsidRPr="00A668C2">
              <w:rPr>
                <w:sz w:val="20"/>
                <w:szCs w:val="20"/>
              </w:rPr>
              <w:t>2 650</w:t>
            </w:r>
          </w:p>
        </w:tc>
        <w:tc>
          <w:tcPr>
            <w:tcW w:w="960" w:type="dxa"/>
            <w:tcBorders>
              <w:top w:val="nil"/>
              <w:left w:val="nil"/>
              <w:bottom w:val="nil"/>
              <w:right w:val="nil"/>
            </w:tcBorders>
            <w:shd w:val="clear" w:color="auto" w:fill="auto"/>
            <w:noWrap/>
            <w:vAlign w:val="bottom"/>
            <w:hideMark/>
          </w:tcPr>
          <w:p w14:paraId="5028CCCC" w14:textId="77777777" w:rsidR="00A668C2" w:rsidRPr="00A668C2" w:rsidRDefault="00A668C2" w:rsidP="00A668C2">
            <w:pPr>
              <w:tabs>
                <w:tab w:val="clear" w:pos="284"/>
              </w:tabs>
              <w:spacing w:after="0" w:line="240" w:lineRule="auto"/>
              <w:jc w:val="right"/>
              <w:rPr>
                <w:sz w:val="20"/>
                <w:szCs w:val="20"/>
              </w:rPr>
            </w:pPr>
            <w:r w:rsidRPr="00A668C2">
              <w:rPr>
                <w:sz w:val="20"/>
                <w:szCs w:val="20"/>
              </w:rPr>
              <w:t>2 625</w:t>
            </w:r>
          </w:p>
        </w:tc>
        <w:tc>
          <w:tcPr>
            <w:tcW w:w="960" w:type="dxa"/>
            <w:tcBorders>
              <w:top w:val="nil"/>
              <w:left w:val="nil"/>
              <w:bottom w:val="nil"/>
              <w:right w:val="nil"/>
            </w:tcBorders>
            <w:shd w:val="clear" w:color="auto" w:fill="auto"/>
            <w:noWrap/>
            <w:vAlign w:val="bottom"/>
            <w:hideMark/>
          </w:tcPr>
          <w:p w14:paraId="48459CC7" w14:textId="77777777" w:rsidR="00A668C2" w:rsidRPr="00A668C2" w:rsidRDefault="00A668C2" w:rsidP="00A668C2">
            <w:pPr>
              <w:tabs>
                <w:tab w:val="clear" w:pos="284"/>
              </w:tabs>
              <w:spacing w:after="0" w:line="240" w:lineRule="auto"/>
              <w:jc w:val="right"/>
              <w:rPr>
                <w:sz w:val="20"/>
                <w:szCs w:val="20"/>
              </w:rPr>
            </w:pPr>
            <w:r w:rsidRPr="00A668C2">
              <w:rPr>
                <w:sz w:val="20"/>
                <w:szCs w:val="20"/>
              </w:rPr>
              <w:t>3 053</w:t>
            </w:r>
          </w:p>
        </w:tc>
      </w:tr>
      <w:tr w:rsidR="00A668C2" w:rsidRPr="00A668C2" w14:paraId="73B120AB" w14:textId="77777777" w:rsidTr="006667F3">
        <w:trPr>
          <w:trHeight w:val="255"/>
        </w:trPr>
        <w:tc>
          <w:tcPr>
            <w:tcW w:w="1701" w:type="dxa"/>
            <w:tcBorders>
              <w:top w:val="nil"/>
              <w:left w:val="nil"/>
              <w:bottom w:val="nil"/>
              <w:right w:val="nil"/>
            </w:tcBorders>
            <w:shd w:val="clear" w:color="auto" w:fill="auto"/>
            <w:noWrap/>
            <w:vAlign w:val="bottom"/>
            <w:hideMark/>
          </w:tcPr>
          <w:p w14:paraId="578EAF45" w14:textId="77777777" w:rsidR="00A668C2" w:rsidRPr="00A668C2" w:rsidRDefault="00A668C2" w:rsidP="00A668C2">
            <w:pPr>
              <w:tabs>
                <w:tab w:val="clear" w:pos="284"/>
              </w:tabs>
              <w:spacing w:after="0" w:line="240" w:lineRule="auto"/>
              <w:rPr>
                <w:sz w:val="20"/>
                <w:szCs w:val="20"/>
              </w:rPr>
            </w:pPr>
            <w:r w:rsidRPr="00A668C2">
              <w:rPr>
                <w:sz w:val="20"/>
                <w:szCs w:val="20"/>
              </w:rPr>
              <w:t>Sweden</w:t>
            </w:r>
          </w:p>
        </w:tc>
        <w:tc>
          <w:tcPr>
            <w:tcW w:w="639" w:type="dxa"/>
            <w:tcBorders>
              <w:top w:val="nil"/>
              <w:left w:val="nil"/>
              <w:bottom w:val="nil"/>
              <w:right w:val="nil"/>
            </w:tcBorders>
            <w:shd w:val="clear" w:color="auto" w:fill="auto"/>
            <w:noWrap/>
            <w:vAlign w:val="bottom"/>
            <w:hideMark/>
          </w:tcPr>
          <w:p w14:paraId="17E6D3B8" w14:textId="77777777" w:rsidR="00A668C2" w:rsidRPr="00A668C2" w:rsidRDefault="00A668C2" w:rsidP="00A668C2">
            <w:pPr>
              <w:tabs>
                <w:tab w:val="clear" w:pos="284"/>
              </w:tabs>
              <w:spacing w:after="0" w:line="240" w:lineRule="auto"/>
              <w:jc w:val="right"/>
              <w:rPr>
                <w:sz w:val="20"/>
                <w:szCs w:val="20"/>
              </w:rPr>
            </w:pPr>
            <w:r w:rsidRPr="00A668C2">
              <w:rPr>
                <w:sz w:val="20"/>
                <w:szCs w:val="20"/>
              </w:rPr>
              <w:t>1 174</w:t>
            </w:r>
          </w:p>
        </w:tc>
        <w:tc>
          <w:tcPr>
            <w:tcW w:w="960" w:type="dxa"/>
            <w:tcBorders>
              <w:top w:val="nil"/>
              <w:left w:val="nil"/>
              <w:bottom w:val="nil"/>
              <w:right w:val="nil"/>
            </w:tcBorders>
            <w:shd w:val="clear" w:color="auto" w:fill="auto"/>
            <w:noWrap/>
            <w:vAlign w:val="bottom"/>
            <w:hideMark/>
          </w:tcPr>
          <w:p w14:paraId="0D54F1AB" w14:textId="77777777" w:rsidR="00A668C2" w:rsidRPr="00A668C2" w:rsidRDefault="00A668C2" w:rsidP="00A668C2">
            <w:pPr>
              <w:tabs>
                <w:tab w:val="clear" w:pos="284"/>
              </w:tabs>
              <w:spacing w:after="0" w:line="240" w:lineRule="auto"/>
              <w:jc w:val="right"/>
              <w:rPr>
                <w:sz w:val="20"/>
                <w:szCs w:val="20"/>
              </w:rPr>
            </w:pPr>
            <w:r w:rsidRPr="00A668C2">
              <w:rPr>
                <w:sz w:val="20"/>
                <w:szCs w:val="20"/>
              </w:rPr>
              <w:t>1 301</w:t>
            </w:r>
          </w:p>
        </w:tc>
        <w:tc>
          <w:tcPr>
            <w:tcW w:w="960" w:type="dxa"/>
            <w:tcBorders>
              <w:top w:val="nil"/>
              <w:left w:val="nil"/>
              <w:bottom w:val="nil"/>
              <w:right w:val="nil"/>
            </w:tcBorders>
            <w:shd w:val="clear" w:color="auto" w:fill="auto"/>
            <w:noWrap/>
            <w:vAlign w:val="bottom"/>
            <w:hideMark/>
          </w:tcPr>
          <w:p w14:paraId="0EC7ECF7" w14:textId="77777777" w:rsidR="00A668C2" w:rsidRPr="00A668C2" w:rsidRDefault="00A668C2" w:rsidP="00A668C2">
            <w:pPr>
              <w:tabs>
                <w:tab w:val="clear" w:pos="284"/>
              </w:tabs>
              <w:spacing w:after="0" w:line="240" w:lineRule="auto"/>
              <w:jc w:val="right"/>
              <w:rPr>
                <w:sz w:val="20"/>
                <w:szCs w:val="20"/>
              </w:rPr>
            </w:pPr>
            <w:r w:rsidRPr="00A668C2">
              <w:rPr>
                <w:sz w:val="20"/>
                <w:szCs w:val="20"/>
              </w:rPr>
              <w:t>1 402</w:t>
            </w:r>
          </w:p>
        </w:tc>
        <w:tc>
          <w:tcPr>
            <w:tcW w:w="960" w:type="dxa"/>
            <w:tcBorders>
              <w:top w:val="nil"/>
              <w:left w:val="nil"/>
              <w:bottom w:val="nil"/>
              <w:right w:val="nil"/>
            </w:tcBorders>
            <w:shd w:val="clear" w:color="auto" w:fill="auto"/>
            <w:noWrap/>
            <w:vAlign w:val="bottom"/>
            <w:hideMark/>
          </w:tcPr>
          <w:p w14:paraId="26DA69EB" w14:textId="77777777" w:rsidR="00A668C2" w:rsidRPr="00A668C2" w:rsidRDefault="00A668C2" w:rsidP="00A668C2">
            <w:pPr>
              <w:tabs>
                <w:tab w:val="clear" w:pos="284"/>
              </w:tabs>
              <w:spacing w:after="0" w:line="240" w:lineRule="auto"/>
              <w:jc w:val="right"/>
              <w:rPr>
                <w:sz w:val="20"/>
                <w:szCs w:val="20"/>
              </w:rPr>
            </w:pPr>
            <w:r w:rsidRPr="00A668C2">
              <w:rPr>
                <w:sz w:val="20"/>
                <w:szCs w:val="20"/>
              </w:rPr>
              <w:t>1 381</w:t>
            </w:r>
          </w:p>
        </w:tc>
        <w:tc>
          <w:tcPr>
            <w:tcW w:w="960" w:type="dxa"/>
            <w:tcBorders>
              <w:top w:val="nil"/>
              <w:left w:val="nil"/>
              <w:bottom w:val="nil"/>
              <w:right w:val="nil"/>
            </w:tcBorders>
            <w:shd w:val="clear" w:color="auto" w:fill="auto"/>
            <w:noWrap/>
            <w:vAlign w:val="bottom"/>
            <w:hideMark/>
          </w:tcPr>
          <w:p w14:paraId="241E19F7" w14:textId="77777777" w:rsidR="00A668C2" w:rsidRPr="00A668C2" w:rsidRDefault="00A668C2" w:rsidP="00A668C2">
            <w:pPr>
              <w:tabs>
                <w:tab w:val="clear" w:pos="284"/>
              </w:tabs>
              <w:spacing w:after="0" w:line="240" w:lineRule="auto"/>
              <w:jc w:val="right"/>
              <w:rPr>
                <w:sz w:val="20"/>
                <w:szCs w:val="20"/>
              </w:rPr>
            </w:pPr>
            <w:r w:rsidRPr="00A668C2">
              <w:rPr>
                <w:sz w:val="20"/>
                <w:szCs w:val="20"/>
              </w:rPr>
              <w:t>1 301</w:t>
            </w:r>
          </w:p>
        </w:tc>
        <w:tc>
          <w:tcPr>
            <w:tcW w:w="960" w:type="dxa"/>
            <w:tcBorders>
              <w:top w:val="nil"/>
              <w:left w:val="nil"/>
              <w:bottom w:val="nil"/>
              <w:right w:val="nil"/>
            </w:tcBorders>
            <w:shd w:val="clear" w:color="auto" w:fill="auto"/>
            <w:noWrap/>
            <w:vAlign w:val="bottom"/>
            <w:hideMark/>
          </w:tcPr>
          <w:p w14:paraId="31D6D80C" w14:textId="77777777" w:rsidR="00A668C2" w:rsidRPr="00A668C2" w:rsidRDefault="00A668C2" w:rsidP="00A668C2">
            <w:pPr>
              <w:tabs>
                <w:tab w:val="clear" w:pos="284"/>
              </w:tabs>
              <w:spacing w:after="0" w:line="240" w:lineRule="auto"/>
              <w:jc w:val="right"/>
              <w:rPr>
                <w:sz w:val="20"/>
                <w:szCs w:val="20"/>
              </w:rPr>
            </w:pPr>
            <w:r w:rsidRPr="00A668C2">
              <w:rPr>
                <w:sz w:val="20"/>
                <w:szCs w:val="20"/>
              </w:rPr>
              <w:t>1 133</w:t>
            </w:r>
          </w:p>
        </w:tc>
        <w:tc>
          <w:tcPr>
            <w:tcW w:w="960" w:type="dxa"/>
            <w:tcBorders>
              <w:top w:val="nil"/>
              <w:left w:val="nil"/>
              <w:bottom w:val="nil"/>
              <w:right w:val="nil"/>
            </w:tcBorders>
            <w:shd w:val="clear" w:color="auto" w:fill="auto"/>
            <w:noWrap/>
            <w:vAlign w:val="bottom"/>
            <w:hideMark/>
          </w:tcPr>
          <w:p w14:paraId="1A2B0A7F" w14:textId="77777777" w:rsidR="00A668C2" w:rsidRPr="00A668C2" w:rsidRDefault="00A668C2" w:rsidP="00A668C2">
            <w:pPr>
              <w:tabs>
                <w:tab w:val="clear" w:pos="284"/>
              </w:tabs>
              <w:spacing w:after="0" w:line="240" w:lineRule="auto"/>
              <w:jc w:val="right"/>
              <w:rPr>
                <w:sz w:val="20"/>
                <w:szCs w:val="20"/>
              </w:rPr>
            </w:pPr>
            <w:r w:rsidRPr="00A668C2">
              <w:rPr>
                <w:sz w:val="20"/>
                <w:szCs w:val="20"/>
              </w:rPr>
              <w:t>1 427</w:t>
            </w:r>
          </w:p>
        </w:tc>
        <w:tc>
          <w:tcPr>
            <w:tcW w:w="960" w:type="dxa"/>
            <w:tcBorders>
              <w:top w:val="nil"/>
              <w:left w:val="nil"/>
              <w:bottom w:val="nil"/>
              <w:right w:val="nil"/>
            </w:tcBorders>
            <w:shd w:val="clear" w:color="auto" w:fill="auto"/>
            <w:noWrap/>
            <w:vAlign w:val="bottom"/>
            <w:hideMark/>
          </w:tcPr>
          <w:p w14:paraId="003E5E37" w14:textId="77777777" w:rsidR="00A668C2" w:rsidRPr="00A668C2" w:rsidRDefault="00A668C2" w:rsidP="00A668C2">
            <w:pPr>
              <w:tabs>
                <w:tab w:val="clear" w:pos="284"/>
              </w:tabs>
              <w:spacing w:after="0" w:line="240" w:lineRule="auto"/>
              <w:jc w:val="right"/>
              <w:rPr>
                <w:sz w:val="20"/>
                <w:szCs w:val="20"/>
              </w:rPr>
            </w:pPr>
            <w:r w:rsidRPr="00A668C2">
              <w:rPr>
                <w:sz w:val="20"/>
                <w:szCs w:val="20"/>
              </w:rPr>
              <w:t>1 839</w:t>
            </w:r>
          </w:p>
        </w:tc>
      </w:tr>
      <w:tr w:rsidR="00A668C2" w:rsidRPr="00A668C2" w14:paraId="670D125F" w14:textId="77777777" w:rsidTr="006667F3">
        <w:trPr>
          <w:trHeight w:val="255"/>
        </w:trPr>
        <w:tc>
          <w:tcPr>
            <w:tcW w:w="1701" w:type="dxa"/>
            <w:tcBorders>
              <w:top w:val="nil"/>
              <w:left w:val="nil"/>
              <w:bottom w:val="nil"/>
              <w:right w:val="nil"/>
            </w:tcBorders>
            <w:shd w:val="clear" w:color="auto" w:fill="auto"/>
            <w:noWrap/>
            <w:vAlign w:val="bottom"/>
            <w:hideMark/>
          </w:tcPr>
          <w:p w14:paraId="6D3F4545" w14:textId="77777777" w:rsidR="00A668C2" w:rsidRPr="00A668C2" w:rsidRDefault="00A668C2" w:rsidP="00A668C2">
            <w:pPr>
              <w:tabs>
                <w:tab w:val="clear" w:pos="284"/>
              </w:tabs>
              <w:spacing w:after="0" w:line="240" w:lineRule="auto"/>
              <w:rPr>
                <w:sz w:val="20"/>
                <w:szCs w:val="20"/>
              </w:rPr>
            </w:pPr>
            <w:r w:rsidRPr="00A668C2">
              <w:rPr>
                <w:sz w:val="20"/>
                <w:szCs w:val="20"/>
              </w:rPr>
              <w:t>Japan</w:t>
            </w:r>
          </w:p>
        </w:tc>
        <w:tc>
          <w:tcPr>
            <w:tcW w:w="639" w:type="dxa"/>
            <w:tcBorders>
              <w:top w:val="nil"/>
              <w:left w:val="nil"/>
              <w:bottom w:val="nil"/>
              <w:right w:val="nil"/>
            </w:tcBorders>
            <w:shd w:val="clear" w:color="auto" w:fill="auto"/>
            <w:noWrap/>
            <w:vAlign w:val="bottom"/>
            <w:hideMark/>
          </w:tcPr>
          <w:p w14:paraId="2F5147C0" w14:textId="77777777" w:rsidR="00A668C2" w:rsidRPr="00A668C2" w:rsidRDefault="00A668C2" w:rsidP="00A668C2">
            <w:pPr>
              <w:tabs>
                <w:tab w:val="clear" w:pos="284"/>
              </w:tabs>
              <w:spacing w:after="0" w:line="240" w:lineRule="auto"/>
              <w:jc w:val="right"/>
              <w:rPr>
                <w:sz w:val="20"/>
                <w:szCs w:val="20"/>
              </w:rPr>
            </w:pPr>
            <w:r w:rsidRPr="00A668C2">
              <w:rPr>
                <w:sz w:val="20"/>
                <w:szCs w:val="20"/>
              </w:rPr>
              <w:t>1 920</w:t>
            </w:r>
          </w:p>
        </w:tc>
        <w:tc>
          <w:tcPr>
            <w:tcW w:w="960" w:type="dxa"/>
            <w:tcBorders>
              <w:top w:val="nil"/>
              <w:left w:val="nil"/>
              <w:bottom w:val="nil"/>
              <w:right w:val="nil"/>
            </w:tcBorders>
            <w:shd w:val="clear" w:color="auto" w:fill="auto"/>
            <w:noWrap/>
            <w:vAlign w:val="bottom"/>
            <w:hideMark/>
          </w:tcPr>
          <w:p w14:paraId="5C3A68F0" w14:textId="77777777" w:rsidR="00A668C2" w:rsidRPr="00A668C2" w:rsidRDefault="00A668C2" w:rsidP="00A668C2">
            <w:pPr>
              <w:tabs>
                <w:tab w:val="clear" w:pos="284"/>
              </w:tabs>
              <w:spacing w:after="0" w:line="240" w:lineRule="auto"/>
              <w:jc w:val="right"/>
              <w:rPr>
                <w:sz w:val="20"/>
                <w:szCs w:val="20"/>
              </w:rPr>
            </w:pPr>
            <w:r w:rsidRPr="00A668C2">
              <w:rPr>
                <w:sz w:val="20"/>
                <w:szCs w:val="20"/>
              </w:rPr>
              <w:t>1 720</w:t>
            </w:r>
          </w:p>
        </w:tc>
        <w:tc>
          <w:tcPr>
            <w:tcW w:w="960" w:type="dxa"/>
            <w:tcBorders>
              <w:top w:val="nil"/>
              <w:left w:val="nil"/>
              <w:bottom w:val="nil"/>
              <w:right w:val="nil"/>
            </w:tcBorders>
            <w:shd w:val="clear" w:color="auto" w:fill="auto"/>
            <w:noWrap/>
            <w:vAlign w:val="bottom"/>
            <w:hideMark/>
          </w:tcPr>
          <w:p w14:paraId="47D8B75F" w14:textId="77777777" w:rsidR="00A668C2" w:rsidRPr="00A668C2" w:rsidRDefault="00A668C2" w:rsidP="00A668C2">
            <w:pPr>
              <w:tabs>
                <w:tab w:val="clear" w:pos="284"/>
              </w:tabs>
              <w:spacing w:after="0" w:line="240" w:lineRule="auto"/>
              <w:jc w:val="right"/>
              <w:rPr>
                <w:sz w:val="20"/>
                <w:szCs w:val="20"/>
              </w:rPr>
            </w:pPr>
            <w:r w:rsidRPr="00A668C2">
              <w:rPr>
                <w:sz w:val="20"/>
                <w:szCs w:val="20"/>
              </w:rPr>
              <w:t>1 768</w:t>
            </w:r>
          </w:p>
        </w:tc>
        <w:tc>
          <w:tcPr>
            <w:tcW w:w="960" w:type="dxa"/>
            <w:tcBorders>
              <w:top w:val="nil"/>
              <w:left w:val="nil"/>
              <w:bottom w:val="nil"/>
              <w:right w:val="nil"/>
            </w:tcBorders>
            <w:shd w:val="clear" w:color="auto" w:fill="auto"/>
            <w:noWrap/>
            <w:vAlign w:val="bottom"/>
            <w:hideMark/>
          </w:tcPr>
          <w:p w14:paraId="5FFF9ED6" w14:textId="77777777" w:rsidR="00A668C2" w:rsidRPr="00A668C2" w:rsidRDefault="00A668C2" w:rsidP="00A668C2">
            <w:pPr>
              <w:tabs>
                <w:tab w:val="clear" w:pos="284"/>
              </w:tabs>
              <w:spacing w:after="0" w:line="240" w:lineRule="auto"/>
              <w:jc w:val="right"/>
              <w:rPr>
                <w:sz w:val="20"/>
                <w:szCs w:val="20"/>
              </w:rPr>
            </w:pPr>
            <w:r w:rsidRPr="00A668C2">
              <w:rPr>
                <w:sz w:val="20"/>
                <w:szCs w:val="20"/>
              </w:rPr>
              <w:t>1 631</w:t>
            </w:r>
          </w:p>
        </w:tc>
        <w:tc>
          <w:tcPr>
            <w:tcW w:w="960" w:type="dxa"/>
            <w:tcBorders>
              <w:top w:val="nil"/>
              <w:left w:val="nil"/>
              <w:bottom w:val="nil"/>
              <w:right w:val="nil"/>
            </w:tcBorders>
            <w:shd w:val="clear" w:color="auto" w:fill="auto"/>
            <w:noWrap/>
            <w:vAlign w:val="bottom"/>
            <w:hideMark/>
          </w:tcPr>
          <w:p w14:paraId="6C7D6416" w14:textId="77777777" w:rsidR="00A668C2" w:rsidRPr="00A668C2" w:rsidRDefault="00A668C2" w:rsidP="00A668C2">
            <w:pPr>
              <w:tabs>
                <w:tab w:val="clear" w:pos="284"/>
              </w:tabs>
              <w:spacing w:after="0" w:line="240" w:lineRule="auto"/>
              <w:jc w:val="right"/>
              <w:rPr>
                <w:sz w:val="20"/>
                <w:szCs w:val="20"/>
              </w:rPr>
            </w:pPr>
            <w:r w:rsidRPr="00A668C2">
              <w:rPr>
                <w:sz w:val="20"/>
                <w:szCs w:val="20"/>
              </w:rPr>
              <w:t>1 439</w:t>
            </w:r>
          </w:p>
        </w:tc>
        <w:tc>
          <w:tcPr>
            <w:tcW w:w="960" w:type="dxa"/>
            <w:tcBorders>
              <w:top w:val="nil"/>
              <w:left w:val="nil"/>
              <w:bottom w:val="nil"/>
              <w:right w:val="nil"/>
            </w:tcBorders>
            <w:shd w:val="clear" w:color="auto" w:fill="auto"/>
            <w:noWrap/>
            <w:vAlign w:val="bottom"/>
            <w:hideMark/>
          </w:tcPr>
          <w:p w14:paraId="217592DC" w14:textId="77777777" w:rsidR="00A668C2" w:rsidRPr="00A668C2" w:rsidRDefault="00A668C2" w:rsidP="00A668C2">
            <w:pPr>
              <w:tabs>
                <w:tab w:val="clear" w:pos="284"/>
              </w:tabs>
              <w:spacing w:after="0" w:line="240" w:lineRule="auto"/>
              <w:jc w:val="right"/>
              <w:rPr>
                <w:sz w:val="20"/>
                <w:szCs w:val="20"/>
              </w:rPr>
            </w:pPr>
            <w:r w:rsidRPr="00A668C2">
              <w:rPr>
                <w:sz w:val="20"/>
                <w:szCs w:val="20"/>
              </w:rPr>
              <w:t>1 577</w:t>
            </w:r>
          </w:p>
        </w:tc>
        <w:tc>
          <w:tcPr>
            <w:tcW w:w="960" w:type="dxa"/>
            <w:tcBorders>
              <w:top w:val="nil"/>
              <w:left w:val="nil"/>
              <w:bottom w:val="nil"/>
              <w:right w:val="nil"/>
            </w:tcBorders>
            <w:shd w:val="clear" w:color="auto" w:fill="auto"/>
            <w:noWrap/>
            <w:vAlign w:val="bottom"/>
            <w:hideMark/>
          </w:tcPr>
          <w:p w14:paraId="368FC6EF" w14:textId="77777777" w:rsidR="00A668C2" w:rsidRPr="00A668C2" w:rsidRDefault="00A668C2" w:rsidP="00A668C2">
            <w:pPr>
              <w:tabs>
                <w:tab w:val="clear" w:pos="284"/>
              </w:tabs>
              <w:spacing w:after="0" w:line="240" w:lineRule="auto"/>
              <w:jc w:val="right"/>
              <w:rPr>
                <w:sz w:val="20"/>
                <w:szCs w:val="20"/>
              </w:rPr>
            </w:pPr>
            <w:r w:rsidRPr="00A668C2">
              <w:rPr>
                <w:sz w:val="20"/>
                <w:szCs w:val="20"/>
              </w:rPr>
              <w:t>1 358</w:t>
            </w:r>
          </w:p>
        </w:tc>
        <w:tc>
          <w:tcPr>
            <w:tcW w:w="960" w:type="dxa"/>
            <w:tcBorders>
              <w:top w:val="nil"/>
              <w:left w:val="nil"/>
              <w:bottom w:val="nil"/>
              <w:right w:val="nil"/>
            </w:tcBorders>
            <w:shd w:val="clear" w:color="auto" w:fill="auto"/>
            <w:noWrap/>
            <w:vAlign w:val="bottom"/>
            <w:hideMark/>
          </w:tcPr>
          <w:p w14:paraId="44CF7D77" w14:textId="77777777" w:rsidR="00A668C2" w:rsidRPr="00A668C2" w:rsidRDefault="00A668C2" w:rsidP="00A668C2">
            <w:pPr>
              <w:tabs>
                <w:tab w:val="clear" w:pos="284"/>
              </w:tabs>
              <w:spacing w:after="0" w:line="240" w:lineRule="auto"/>
              <w:jc w:val="right"/>
              <w:rPr>
                <w:sz w:val="20"/>
                <w:szCs w:val="20"/>
              </w:rPr>
            </w:pPr>
            <w:r w:rsidRPr="00A668C2">
              <w:rPr>
                <w:sz w:val="20"/>
                <w:szCs w:val="20"/>
              </w:rPr>
              <w:t>1 348</w:t>
            </w:r>
          </w:p>
        </w:tc>
      </w:tr>
      <w:tr w:rsidR="00A668C2" w:rsidRPr="00A668C2" w14:paraId="5A7140D4" w14:textId="77777777" w:rsidTr="006667F3">
        <w:trPr>
          <w:trHeight w:val="255"/>
        </w:trPr>
        <w:tc>
          <w:tcPr>
            <w:tcW w:w="1701" w:type="dxa"/>
            <w:tcBorders>
              <w:top w:val="nil"/>
              <w:left w:val="nil"/>
              <w:bottom w:val="nil"/>
              <w:right w:val="nil"/>
            </w:tcBorders>
            <w:shd w:val="clear" w:color="auto" w:fill="auto"/>
            <w:noWrap/>
            <w:vAlign w:val="bottom"/>
            <w:hideMark/>
          </w:tcPr>
          <w:p w14:paraId="7B86C609" w14:textId="77777777" w:rsidR="00A668C2" w:rsidRPr="00A668C2" w:rsidRDefault="00A668C2" w:rsidP="00A668C2">
            <w:pPr>
              <w:tabs>
                <w:tab w:val="clear" w:pos="284"/>
              </w:tabs>
              <w:spacing w:after="0" w:line="240" w:lineRule="auto"/>
              <w:rPr>
                <w:sz w:val="20"/>
                <w:szCs w:val="20"/>
              </w:rPr>
            </w:pPr>
            <w:r w:rsidRPr="00A668C2">
              <w:rPr>
                <w:sz w:val="20"/>
                <w:szCs w:val="20"/>
              </w:rPr>
              <w:t>Norway</w:t>
            </w:r>
          </w:p>
        </w:tc>
        <w:tc>
          <w:tcPr>
            <w:tcW w:w="639" w:type="dxa"/>
            <w:tcBorders>
              <w:top w:val="nil"/>
              <w:left w:val="nil"/>
              <w:bottom w:val="nil"/>
              <w:right w:val="nil"/>
            </w:tcBorders>
            <w:shd w:val="clear" w:color="auto" w:fill="auto"/>
            <w:noWrap/>
            <w:vAlign w:val="bottom"/>
            <w:hideMark/>
          </w:tcPr>
          <w:p w14:paraId="7C684D50" w14:textId="77777777" w:rsidR="00A668C2" w:rsidRPr="00A668C2" w:rsidRDefault="00A668C2" w:rsidP="00A668C2">
            <w:pPr>
              <w:tabs>
                <w:tab w:val="clear" w:pos="284"/>
              </w:tabs>
              <w:spacing w:after="0" w:line="240" w:lineRule="auto"/>
              <w:jc w:val="right"/>
              <w:rPr>
                <w:sz w:val="20"/>
                <w:szCs w:val="20"/>
              </w:rPr>
            </w:pPr>
            <w:r w:rsidRPr="00A668C2">
              <w:rPr>
                <w:sz w:val="20"/>
                <w:szCs w:val="20"/>
              </w:rPr>
              <w:t>1 255</w:t>
            </w:r>
          </w:p>
        </w:tc>
        <w:tc>
          <w:tcPr>
            <w:tcW w:w="960" w:type="dxa"/>
            <w:tcBorders>
              <w:top w:val="nil"/>
              <w:left w:val="nil"/>
              <w:bottom w:val="nil"/>
              <w:right w:val="nil"/>
            </w:tcBorders>
            <w:shd w:val="clear" w:color="auto" w:fill="auto"/>
            <w:noWrap/>
            <w:vAlign w:val="bottom"/>
            <w:hideMark/>
          </w:tcPr>
          <w:p w14:paraId="486AF49E" w14:textId="77777777" w:rsidR="00A668C2" w:rsidRPr="00A668C2" w:rsidRDefault="00A668C2" w:rsidP="00A668C2">
            <w:pPr>
              <w:tabs>
                <w:tab w:val="clear" w:pos="284"/>
              </w:tabs>
              <w:spacing w:after="0" w:line="240" w:lineRule="auto"/>
              <w:jc w:val="right"/>
              <w:rPr>
                <w:sz w:val="20"/>
                <w:szCs w:val="20"/>
              </w:rPr>
            </w:pPr>
            <w:r w:rsidRPr="00A668C2">
              <w:rPr>
                <w:sz w:val="20"/>
                <w:szCs w:val="20"/>
              </w:rPr>
              <w:t>1 198</w:t>
            </w:r>
          </w:p>
        </w:tc>
        <w:tc>
          <w:tcPr>
            <w:tcW w:w="960" w:type="dxa"/>
            <w:tcBorders>
              <w:top w:val="nil"/>
              <w:left w:val="nil"/>
              <w:bottom w:val="nil"/>
              <w:right w:val="nil"/>
            </w:tcBorders>
            <w:shd w:val="clear" w:color="auto" w:fill="auto"/>
            <w:noWrap/>
            <w:vAlign w:val="bottom"/>
            <w:hideMark/>
          </w:tcPr>
          <w:p w14:paraId="4A37234B" w14:textId="77777777" w:rsidR="00A668C2" w:rsidRPr="00A668C2" w:rsidRDefault="00A668C2" w:rsidP="00A668C2">
            <w:pPr>
              <w:tabs>
                <w:tab w:val="clear" w:pos="284"/>
              </w:tabs>
              <w:spacing w:after="0" w:line="240" w:lineRule="auto"/>
              <w:jc w:val="right"/>
              <w:rPr>
                <w:sz w:val="20"/>
                <w:szCs w:val="20"/>
              </w:rPr>
            </w:pPr>
            <w:r w:rsidRPr="00A668C2">
              <w:rPr>
                <w:sz w:val="20"/>
                <w:szCs w:val="20"/>
              </w:rPr>
              <w:t>1 368</w:t>
            </w:r>
          </w:p>
        </w:tc>
        <w:tc>
          <w:tcPr>
            <w:tcW w:w="960" w:type="dxa"/>
            <w:tcBorders>
              <w:top w:val="nil"/>
              <w:left w:val="nil"/>
              <w:bottom w:val="nil"/>
              <w:right w:val="nil"/>
            </w:tcBorders>
            <w:shd w:val="clear" w:color="auto" w:fill="auto"/>
            <w:noWrap/>
            <w:vAlign w:val="bottom"/>
            <w:hideMark/>
          </w:tcPr>
          <w:p w14:paraId="4051E28A" w14:textId="77777777" w:rsidR="00A668C2" w:rsidRPr="00A668C2" w:rsidRDefault="00A668C2" w:rsidP="00A668C2">
            <w:pPr>
              <w:tabs>
                <w:tab w:val="clear" w:pos="284"/>
              </w:tabs>
              <w:spacing w:after="0" w:line="240" w:lineRule="auto"/>
              <w:jc w:val="right"/>
              <w:rPr>
                <w:sz w:val="20"/>
                <w:szCs w:val="20"/>
              </w:rPr>
            </w:pPr>
            <w:r w:rsidRPr="00A668C2">
              <w:rPr>
                <w:sz w:val="20"/>
                <w:szCs w:val="20"/>
              </w:rPr>
              <w:t>1 191</w:t>
            </w:r>
          </w:p>
        </w:tc>
        <w:tc>
          <w:tcPr>
            <w:tcW w:w="960" w:type="dxa"/>
            <w:tcBorders>
              <w:top w:val="nil"/>
              <w:left w:val="nil"/>
              <w:bottom w:val="nil"/>
              <w:right w:val="nil"/>
            </w:tcBorders>
            <w:shd w:val="clear" w:color="auto" w:fill="auto"/>
            <w:noWrap/>
            <w:vAlign w:val="bottom"/>
            <w:hideMark/>
          </w:tcPr>
          <w:p w14:paraId="206CB05C" w14:textId="77777777" w:rsidR="00A668C2" w:rsidRPr="00A668C2" w:rsidRDefault="00A668C2" w:rsidP="00A668C2">
            <w:pPr>
              <w:tabs>
                <w:tab w:val="clear" w:pos="284"/>
              </w:tabs>
              <w:spacing w:after="0" w:line="240" w:lineRule="auto"/>
              <w:jc w:val="right"/>
              <w:rPr>
                <w:sz w:val="20"/>
                <w:szCs w:val="20"/>
              </w:rPr>
            </w:pPr>
            <w:r w:rsidRPr="00A668C2">
              <w:rPr>
                <w:sz w:val="20"/>
                <w:szCs w:val="20"/>
              </w:rPr>
              <w:t>1 012</w:t>
            </w:r>
          </w:p>
        </w:tc>
        <w:tc>
          <w:tcPr>
            <w:tcW w:w="960" w:type="dxa"/>
            <w:tcBorders>
              <w:top w:val="nil"/>
              <w:left w:val="nil"/>
              <w:bottom w:val="nil"/>
              <w:right w:val="nil"/>
            </w:tcBorders>
            <w:shd w:val="clear" w:color="auto" w:fill="auto"/>
            <w:noWrap/>
            <w:vAlign w:val="bottom"/>
            <w:hideMark/>
          </w:tcPr>
          <w:p w14:paraId="04B6864D" w14:textId="77777777" w:rsidR="00A668C2" w:rsidRPr="00A668C2" w:rsidRDefault="00A668C2" w:rsidP="00A668C2">
            <w:pPr>
              <w:tabs>
                <w:tab w:val="clear" w:pos="284"/>
              </w:tabs>
              <w:spacing w:after="0" w:line="240" w:lineRule="auto"/>
              <w:jc w:val="right"/>
              <w:rPr>
                <w:sz w:val="20"/>
                <w:szCs w:val="20"/>
              </w:rPr>
            </w:pPr>
            <w:r w:rsidRPr="00A668C2">
              <w:rPr>
                <w:sz w:val="20"/>
                <w:szCs w:val="20"/>
              </w:rPr>
              <w:t>981</w:t>
            </w:r>
          </w:p>
        </w:tc>
        <w:tc>
          <w:tcPr>
            <w:tcW w:w="960" w:type="dxa"/>
            <w:tcBorders>
              <w:top w:val="nil"/>
              <w:left w:val="nil"/>
              <w:bottom w:val="nil"/>
              <w:right w:val="nil"/>
            </w:tcBorders>
            <w:shd w:val="clear" w:color="auto" w:fill="auto"/>
            <w:noWrap/>
            <w:vAlign w:val="bottom"/>
            <w:hideMark/>
          </w:tcPr>
          <w:p w14:paraId="694AF962" w14:textId="77777777" w:rsidR="00A668C2" w:rsidRPr="00A668C2" w:rsidRDefault="00A668C2" w:rsidP="00A668C2">
            <w:pPr>
              <w:tabs>
                <w:tab w:val="clear" w:pos="284"/>
              </w:tabs>
              <w:spacing w:after="0" w:line="240" w:lineRule="auto"/>
              <w:jc w:val="right"/>
              <w:rPr>
                <w:sz w:val="20"/>
                <w:szCs w:val="20"/>
              </w:rPr>
            </w:pPr>
            <w:r w:rsidRPr="00A668C2">
              <w:rPr>
                <w:sz w:val="20"/>
                <w:szCs w:val="20"/>
              </w:rPr>
              <w:t>1 139</w:t>
            </w:r>
          </w:p>
        </w:tc>
        <w:tc>
          <w:tcPr>
            <w:tcW w:w="960" w:type="dxa"/>
            <w:tcBorders>
              <w:top w:val="nil"/>
              <w:left w:val="nil"/>
              <w:bottom w:val="nil"/>
              <w:right w:val="nil"/>
            </w:tcBorders>
            <w:shd w:val="clear" w:color="auto" w:fill="auto"/>
            <w:noWrap/>
            <w:vAlign w:val="bottom"/>
            <w:hideMark/>
          </w:tcPr>
          <w:p w14:paraId="7C4E1464" w14:textId="77777777" w:rsidR="00A668C2" w:rsidRPr="00A668C2" w:rsidRDefault="00A668C2" w:rsidP="00A668C2">
            <w:pPr>
              <w:tabs>
                <w:tab w:val="clear" w:pos="284"/>
              </w:tabs>
              <w:spacing w:after="0" w:line="240" w:lineRule="auto"/>
              <w:jc w:val="right"/>
              <w:rPr>
                <w:sz w:val="20"/>
                <w:szCs w:val="20"/>
              </w:rPr>
            </w:pPr>
            <w:r w:rsidRPr="00A668C2">
              <w:rPr>
                <w:sz w:val="20"/>
                <w:szCs w:val="20"/>
              </w:rPr>
              <w:t>1 288</w:t>
            </w:r>
          </w:p>
        </w:tc>
      </w:tr>
      <w:tr w:rsidR="00A668C2" w:rsidRPr="00A668C2" w14:paraId="39D8AB38" w14:textId="77777777" w:rsidTr="006667F3">
        <w:trPr>
          <w:trHeight w:val="255"/>
        </w:trPr>
        <w:tc>
          <w:tcPr>
            <w:tcW w:w="1701" w:type="dxa"/>
            <w:tcBorders>
              <w:top w:val="nil"/>
              <w:left w:val="nil"/>
              <w:bottom w:val="nil"/>
              <w:right w:val="nil"/>
            </w:tcBorders>
            <w:shd w:val="clear" w:color="auto" w:fill="auto"/>
            <w:noWrap/>
            <w:vAlign w:val="bottom"/>
            <w:hideMark/>
          </w:tcPr>
          <w:p w14:paraId="45D0F2A3" w14:textId="77777777" w:rsidR="00A668C2" w:rsidRPr="00A668C2" w:rsidRDefault="00A668C2" w:rsidP="00A668C2">
            <w:pPr>
              <w:tabs>
                <w:tab w:val="clear" w:pos="284"/>
              </w:tabs>
              <w:spacing w:after="0" w:line="240" w:lineRule="auto"/>
              <w:rPr>
                <w:sz w:val="20"/>
                <w:szCs w:val="20"/>
              </w:rPr>
            </w:pPr>
            <w:r w:rsidRPr="00A668C2">
              <w:rPr>
                <w:sz w:val="20"/>
                <w:szCs w:val="20"/>
              </w:rPr>
              <w:t>Netherlands</w:t>
            </w:r>
          </w:p>
        </w:tc>
        <w:tc>
          <w:tcPr>
            <w:tcW w:w="639" w:type="dxa"/>
            <w:tcBorders>
              <w:top w:val="nil"/>
              <w:left w:val="nil"/>
              <w:bottom w:val="nil"/>
              <w:right w:val="nil"/>
            </w:tcBorders>
            <w:shd w:val="clear" w:color="auto" w:fill="auto"/>
            <w:noWrap/>
            <w:vAlign w:val="bottom"/>
            <w:hideMark/>
          </w:tcPr>
          <w:p w14:paraId="7BF92716" w14:textId="77777777" w:rsidR="00A668C2" w:rsidRPr="00A668C2" w:rsidRDefault="00A668C2" w:rsidP="00A668C2">
            <w:pPr>
              <w:tabs>
                <w:tab w:val="clear" w:pos="284"/>
              </w:tabs>
              <w:spacing w:after="0" w:line="240" w:lineRule="auto"/>
              <w:jc w:val="right"/>
              <w:rPr>
                <w:sz w:val="20"/>
                <w:szCs w:val="20"/>
              </w:rPr>
            </w:pPr>
            <w:r w:rsidRPr="00A668C2">
              <w:rPr>
                <w:sz w:val="20"/>
                <w:szCs w:val="20"/>
              </w:rPr>
              <w:t>1 016</w:t>
            </w:r>
          </w:p>
        </w:tc>
        <w:tc>
          <w:tcPr>
            <w:tcW w:w="960" w:type="dxa"/>
            <w:tcBorders>
              <w:top w:val="nil"/>
              <w:left w:val="nil"/>
              <w:bottom w:val="nil"/>
              <w:right w:val="nil"/>
            </w:tcBorders>
            <w:shd w:val="clear" w:color="auto" w:fill="auto"/>
            <w:noWrap/>
            <w:vAlign w:val="bottom"/>
            <w:hideMark/>
          </w:tcPr>
          <w:p w14:paraId="205D68F6" w14:textId="77777777" w:rsidR="00A668C2" w:rsidRPr="00A668C2" w:rsidRDefault="00A668C2" w:rsidP="00A668C2">
            <w:pPr>
              <w:tabs>
                <w:tab w:val="clear" w:pos="284"/>
              </w:tabs>
              <w:spacing w:after="0" w:line="240" w:lineRule="auto"/>
              <w:jc w:val="right"/>
              <w:rPr>
                <w:sz w:val="20"/>
                <w:szCs w:val="20"/>
              </w:rPr>
            </w:pPr>
            <w:r w:rsidRPr="00A668C2">
              <w:rPr>
                <w:sz w:val="20"/>
                <w:szCs w:val="20"/>
              </w:rPr>
              <w:t>903</w:t>
            </w:r>
          </w:p>
        </w:tc>
        <w:tc>
          <w:tcPr>
            <w:tcW w:w="960" w:type="dxa"/>
            <w:tcBorders>
              <w:top w:val="nil"/>
              <w:left w:val="nil"/>
              <w:bottom w:val="nil"/>
              <w:right w:val="nil"/>
            </w:tcBorders>
            <w:shd w:val="clear" w:color="auto" w:fill="auto"/>
            <w:noWrap/>
            <w:vAlign w:val="bottom"/>
            <w:hideMark/>
          </w:tcPr>
          <w:p w14:paraId="3A90637C" w14:textId="77777777" w:rsidR="00A668C2" w:rsidRPr="00A668C2" w:rsidRDefault="00A668C2" w:rsidP="00A668C2">
            <w:pPr>
              <w:tabs>
                <w:tab w:val="clear" w:pos="284"/>
              </w:tabs>
              <w:spacing w:after="0" w:line="240" w:lineRule="auto"/>
              <w:jc w:val="right"/>
              <w:rPr>
                <w:sz w:val="20"/>
                <w:szCs w:val="20"/>
              </w:rPr>
            </w:pPr>
            <w:r w:rsidRPr="00A668C2">
              <w:rPr>
                <w:sz w:val="20"/>
                <w:szCs w:val="20"/>
              </w:rPr>
              <w:t>918</w:t>
            </w:r>
          </w:p>
        </w:tc>
        <w:tc>
          <w:tcPr>
            <w:tcW w:w="960" w:type="dxa"/>
            <w:tcBorders>
              <w:top w:val="nil"/>
              <w:left w:val="nil"/>
              <w:bottom w:val="nil"/>
              <w:right w:val="nil"/>
            </w:tcBorders>
            <w:shd w:val="clear" w:color="auto" w:fill="auto"/>
            <w:noWrap/>
            <w:vAlign w:val="bottom"/>
            <w:hideMark/>
          </w:tcPr>
          <w:p w14:paraId="504555C7" w14:textId="77777777" w:rsidR="00A668C2" w:rsidRPr="00A668C2" w:rsidRDefault="00A668C2" w:rsidP="00A668C2">
            <w:pPr>
              <w:tabs>
                <w:tab w:val="clear" w:pos="284"/>
              </w:tabs>
              <w:spacing w:after="0" w:line="240" w:lineRule="auto"/>
              <w:jc w:val="right"/>
              <w:rPr>
                <w:sz w:val="20"/>
                <w:szCs w:val="20"/>
              </w:rPr>
            </w:pPr>
            <w:r w:rsidRPr="00A668C2">
              <w:rPr>
                <w:sz w:val="20"/>
                <w:szCs w:val="20"/>
              </w:rPr>
              <w:t>845</w:t>
            </w:r>
          </w:p>
        </w:tc>
        <w:tc>
          <w:tcPr>
            <w:tcW w:w="960" w:type="dxa"/>
            <w:tcBorders>
              <w:top w:val="nil"/>
              <w:left w:val="nil"/>
              <w:bottom w:val="nil"/>
              <w:right w:val="nil"/>
            </w:tcBorders>
            <w:shd w:val="clear" w:color="auto" w:fill="auto"/>
            <w:noWrap/>
            <w:vAlign w:val="bottom"/>
            <w:hideMark/>
          </w:tcPr>
          <w:p w14:paraId="0EF882F2" w14:textId="77777777" w:rsidR="00A668C2" w:rsidRPr="00A668C2" w:rsidRDefault="00A668C2" w:rsidP="00A668C2">
            <w:pPr>
              <w:tabs>
                <w:tab w:val="clear" w:pos="284"/>
              </w:tabs>
              <w:spacing w:after="0" w:line="240" w:lineRule="auto"/>
              <w:jc w:val="right"/>
              <w:rPr>
                <w:sz w:val="20"/>
                <w:szCs w:val="20"/>
              </w:rPr>
            </w:pPr>
            <w:r w:rsidRPr="00A668C2">
              <w:rPr>
                <w:sz w:val="20"/>
                <w:szCs w:val="20"/>
              </w:rPr>
              <w:t>781</w:t>
            </w:r>
          </w:p>
        </w:tc>
        <w:tc>
          <w:tcPr>
            <w:tcW w:w="960" w:type="dxa"/>
            <w:tcBorders>
              <w:top w:val="nil"/>
              <w:left w:val="nil"/>
              <w:bottom w:val="nil"/>
              <w:right w:val="nil"/>
            </w:tcBorders>
            <w:shd w:val="clear" w:color="auto" w:fill="auto"/>
            <w:noWrap/>
            <w:vAlign w:val="bottom"/>
            <w:hideMark/>
          </w:tcPr>
          <w:p w14:paraId="6EC4349C" w14:textId="77777777" w:rsidR="00A668C2" w:rsidRPr="00A668C2" w:rsidRDefault="00A668C2" w:rsidP="00A668C2">
            <w:pPr>
              <w:tabs>
                <w:tab w:val="clear" w:pos="284"/>
              </w:tabs>
              <w:spacing w:after="0" w:line="240" w:lineRule="auto"/>
              <w:jc w:val="right"/>
              <w:rPr>
                <w:sz w:val="20"/>
                <w:szCs w:val="20"/>
              </w:rPr>
            </w:pPr>
            <w:r w:rsidRPr="00A668C2">
              <w:rPr>
                <w:sz w:val="20"/>
                <w:szCs w:val="20"/>
              </w:rPr>
              <w:t>852</w:t>
            </w:r>
          </w:p>
        </w:tc>
        <w:tc>
          <w:tcPr>
            <w:tcW w:w="960" w:type="dxa"/>
            <w:tcBorders>
              <w:top w:val="nil"/>
              <w:left w:val="nil"/>
              <w:bottom w:val="nil"/>
              <w:right w:val="nil"/>
            </w:tcBorders>
            <w:shd w:val="clear" w:color="auto" w:fill="auto"/>
            <w:noWrap/>
            <w:vAlign w:val="bottom"/>
            <w:hideMark/>
          </w:tcPr>
          <w:p w14:paraId="78233570" w14:textId="77777777" w:rsidR="00A668C2" w:rsidRPr="00A668C2" w:rsidRDefault="00A668C2" w:rsidP="00A668C2">
            <w:pPr>
              <w:tabs>
                <w:tab w:val="clear" w:pos="284"/>
              </w:tabs>
              <w:spacing w:after="0" w:line="240" w:lineRule="auto"/>
              <w:jc w:val="right"/>
              <w:rPr>
                <w:sz w:val="20"/>
                <w:szCs w:val="20"/>
              </w:rPr>
            </w:pPr>
            <w:r w:rsidRPr="00A668C2">
              <w:rPr>
                <w:sz w:val="20"/>
                <w:szCs w:val="20"/>
              </w:rPr>
              <w:t>824</w:t>
            </w:r>
          </w:p>
        </w:tc>
        <w:tc>
          <w:tcPr>
            <w:tcW w:w="960" w:type="dxa"/>
            <w:tcBorders>
              <w:top w:val="nil"/>
              <w:left w:val="nil"/>
              <w:bottom w:val="nil"/>
              <w:right w:val="nil"/>
            </w:tcBorders>
            <w:shd w:val="clear" w:color="auto" w:fill="auto"/>
            <w:noWrap/>
            <w:vAlign w:val="bottom"/>
            <w:hideMark/>
          </w:tcPr>
          <w:p w14:paraId="79C5F1C2" w14:textId="77777777" w:rsidR="00A668C2" w:rsidRPr="00A668C2" w:rsidRDefault="00A668C2" w:rsidP="00A668C2">
            <w:pPr>
              <w:tabs>
                <w:tab w:val="clear" w:pos="284"/>
              </w:tabs>
              <w:spacing w:after="0" w:line="240" w:lineRule="auto"/>
              <w:jc w:val="right"/>
              <w:rPr>
                <w:sz w:val="20"/>
                <w:szCs w:val="20"/>
              </w:rPr>
            </w:pPr>
            <w:r w:rsidRPr="00A668C2">
              <w:rPr>
                <w:sz w:val="20"/>
                <w:szCs w:val="20"/>
              </w:rPr>
              <w:t>1 009</w:t>
            </w:r>
          </w:p>
        </w:tc>
      </w:tr>
      <w:tr w:rsidR="00A668C2" w:rsidRPr="00A668C2" w14:paraId="201E4AA1" w14:textId="77777777" w:rsidTr="006667F3">
        <w:trPr>
          <w:trHeight w:val="255"/>
        </w:trPr>
        <w:tc>
          <w:tcPr>
            <w:tcW w:w="1701" w:type="dxa"/>
            <w:tcBorders>
              <w:top w:val="nil"/>
              <w:left w:val="nil"/>
              <w:bottom w:val="nil"/>
              <w:right w:val="nil"/>
            </w:tcBorders>
            <w:shd w:val="clear" w:color="auto" w:fill="auto"/>
            <w:noWrap/>
            <w:vAlign w:val="bottom"/>
            <w:hideMark/>
          </w:tcPr>
          <w:p w14:paraId="482D540B" w14:textId="77777777" w:rsidR="00A668C2" w:rsidRPr="00A668C2" w:rsidRDefault="00A668C2" w:rsidP="00A668C2">
            <w:pPr>
              <w:tabs>
                <w:tab w:val="clear" w:pos="284"/>
              </w:tabs>
              <w:spacing w:after="0" w:line="240" w:lineRule="auto"/>
              <w:rPr>
                <w:sz w:val="20"/>
                <w:szCs w:val="20"/>
              </w:rPr>
            </w:pPr>
            <w:r w:rsidRPr="00A668C2">
              <w:rPr>
                <w:sz w:val="20"/>
                <w:szCs w:val="20"/>
              </w:rPr>
              <w:t>Canada</w:t>
            </w:r>
          </w:p>
        </w:tc>
        <w:tc>
          <w:tcPr>
            <w:tcW w:w="639" w:type="dxa"/>
            <w:tcBorders>
              <w:top w:val="nil"/>
              <w:left w:val="nil"/>
              <w:bottom w:val="nil"/>
              <w:right w:val="nil"/>
            </w:tcBorders>
            <w:shd w:val="clear" w:color="auto" w:fill="auto"/>
            <w:noWrap/>
            <w:vAlign w:val="bottom"/>
            <w:hideMark/>
          </w:tcPr>
          <w:p w14:paraId="0DFDF587" w14:textId="77777777" w:rsidR="00A668C2" w:rsidRPr="00A668C2" w:rsidRDefault="00A668C2" w:rsidP="00A668C2">
            <w:pPr>
              <w:tabs>
                <w:tab w:val="clear" w:pos="284"/>
              </w:tabs>
              <w:spacing w:after="0" w:line="240" w:lineRule="auto"/>
              <w:jc w:val="right"/>
              <w:rPr>
                <w:sz w:val="20"/>
                <w:szCs w:val="20"/>
              </w:rPr>
            </w:pPr>
            <w:r w:rsidRPr="00A668C2">
              <w:rPr>
                <w:sz w:val="20"/>
                <w:szCs w:val="20"/>
              </w:rPr>
              <w:t>1 111</w:t>
            </w:r>
          </w:p>
        </w:tc>
        <w:tc>
          <w:tcPr>
            <w:tcW w:w="960" w:type="dxa"/>
            <w:tcBorders>
              <w:top w:val="nil"/>
              <w:left w:val="nil"/>
              <w:bottom w:val="nil"/>
              <w:right w:val="nil"/>
            </w:tcBorders>
            <w:shd w:val="clear" w:color="auto" w:fill="auto"/>
            <w:noWrap/>
            <w:vAlign w:val="bottom"/>
            <w:hideMark/>
          </w:tcPr>
          <w:p w14:paraId="62C0F31D" w14:textId="77777777" w:rsidR="00A668C2" w:rsidRPr="00A668C2" w:rsidRDefault="00A668C2" w:rsidP="00A668C2">
            <w:pPr>
              <w:tabs>
                <w:tab w:val="clear" w:pos="284"/>
              </w:tabs>
              <w:spacing w:after="0" w:line="240" w:lineRule="auto"/>
              <w:jc w:val="right"/>
              <w:rPr>
                <w:sz w:val="20"/>
                <w:szCs w:val="20"/>
              </w:rPr>
            </w:pPr>
            <w:r w:rsidRPr="00A668C2">
              <w:rPr>
                <w:sz w:val="20"/>
                <w:szCs w:val="20"/>
              </w:rPr>
              <w:t>1 132</w:t>
            </w:r>
          </w:p>
        </w:tc>
        <w:tc>
          <w:tcPr>
            <w:tcW w:w="960" w:type="dxa"/>
            <w:tcBorders>
              <w:top w:val="nil"/>
              <w:left w:val="nil"/>
              <w:bottom w:val="nil"/>
              <w:right w:val="nil"/>
            </w:tcBorders>
            <w:shd w:val="clear" w:color="auto" w:fill="auto"/>
            <w:noWrap/>
            <w:vAlign w:val="bottom"/>
            <w:hideMark/>
          </w:tcPr>
          <w:p w14:paraId="1F3B8CC8" w14:textId="77777777" w:rsidR="00A668C2" w:rsidRPr="00A668C2" w:rsidRDefault="00A668C2" w:rsidP="00A668C2">
            <w:pPr>
              <w:tabs>
                <w:tab w:val="clear" w:pos="284"/>
              </w:tabs>
              <w:spacing w:after="0" w:line="240" w:lineRule="auto"/>
              <w:jc w:val="right"/>
              <w:rPr>
                <w:sz w:val="20"/>
                <w:szCs w:val="20"/>
              </w:rPr>
            </w:pPr>
            <w:r w:rsidRPr="00A668C2">
              <w:rPr>
                <w:sz w:val="20"/>
                <w:szCs w:val="20"/>
              </w:rPr>
              <w:t>1 130</w:t>
            </w:r>
          </w:p>
        </w:tc>
        <w:tc>
          <w:tcPr>
            <w:tcW w:w="960" w:type="dxa"/>
            <w:tcBorders>
              <w:top w:val="nil"/>
              <w:left w:val="nil"/>
              <w:bottom w:val="nil"/>
              <w:right w:val="nil"/>
            </w:tcBorders>
            <w:shd w:val="clear" w:color="auto" w:fill="auto"/>
            <w:noWrap/>
            <w:vAlign w:val="bottom"/>
            <w:hideMark/>
          </w:tcPr>
          <w:p w14:paraId="4A94A80D" w14:textId="77777777" w:rsidR="00A668C2" w:rsidRPr="00A668C2" w:rsidRDefault="00A668C2" w:rsidP="00A668C2">
            <w:pPr>
              <w:tabs>
                <w:tab w:val="clear" w:pos="284"/>
              </w:tabs>
              <w:spacing w:after="0" w:line="240" w:lineRule="auto"/>
              <w:jc w:val="right"/>
              <w:rPr>
                <w:sz w:val="20"/>
                <w:szCs w:val="20"/>
              </w:rPr>
            </w:pPr>
            <w:r w:rsidRPr="00A668C2">
              <w:rPr>
                <w:sz w:val="20"/>
                <w:szCs w:val="20"/>
              </w:rPr>
              <w:t>987</w:t>
            </w:r>
          </w:p>
        </w:tc>
        <w:tc>
          <w:tcPr>
            <w:tcW w:w="960" w:type="dxa"/>
            <w:tcBorders>
              <w:top w:val="nil"/>
              <w:left w:val="nil"/>
              <w:bottom w:val="nil"/>
              <w:right w:val="nil"/>
            </w:tcBorders>
            <w:shd w:val="clear" w:color="auto" w:fill="auto"/>
            <w:noWrap/>
            <w:vAlign w:val="bottom"/>
            <w:hideMark/>
          </w:tcPr>
          <w:p w14:paraId="43FFDAEE" w14:textId="77777777" w:rsidR="00A668C2" w:rsidRPr="00A668C2" w:rsidRDefault="00A668C2" w:rsidP="00A668C2">
            <w:pPr>
              <w:tabs>
                <w:tab w:val="clear" w:pos="284"/>
              </w:tabs>
              <w:spacing w:after="0" w:line="240" w:lineRule="auto"/>
              <w:jc w:val="right"/>
              <w:rPr>
                <w:sz w:val="20"/>
                <w:szCs w:val="20"/>
              </w:rPr>
            </w:pPr>
            <w:r w:rsidRPr="00A668C2">
              <w:rPr>
                <w:sz w:val="20"/>
                <w:szCs w:val="20"/>
              </w:rPr>
              <w:t>992</w:t>
            </w:r>
          </w:p>
        </w:tc>
        <w:tc>
          <w:tcPr>
            <w:tcW w:w="960" w:type="dxa"/>
            <w:tcBorders>
              <w:top w:val="nil"/>
              <w:left w:val="nil"/>
              <w:bottom w:val="nil"/>
              <w:right w:val="nil"/>
            </w:tcBorders>
            <w:shd w:val="clear" w:color="auto" w:fill="auto"/>
            <w:noWrap/>
            <w:vAlign w:val="bottom"/>
            <w:hideMark/>
          </w:tcPr>
          <w:p w14:paraId="497EBEFE" w14:textId="77777777" w:rsidR="00A668C2" w:rsidRPr="00A668C2" w:rsidRDefault="00A668C2" w:rsidP="00A668C2">
            <w:pPr>
              <w:tabs>
                <w:tab w:val="clear" w:pos="284"/>
              </w:tabs>
              <w:spacing w:after="0" w:line="240" w:lineRule="auto"/>
              <w:jc w:val="right"/>
              <w:rPr>
                <w:sz w:val="20"/>
                <w:szCs w:val="20"/>
              </w:rPr>
            </w:pPr>
            <w:r w:rsidRPr="00A668C2">
              <w:rPr>
                <w:sz w:val="20"/>
                <w:szCs w:val="20"/>
              </w:rPr>
              <w:t>833</w:t>
            </w:r>
          </w:p>
        </w:tc>
        <w:tc>
          <w:tcPr>
            <w:tcW w:w="960" w:type="dxa"/>
            <w:tcBorders>
              <w:top w:val="nil"/>
              <w:left w:val="nil"/>
              <w:bottom w:val="nil"/>
              <w:right w:val="nil"/>
            </w:tcBorders>
            <w:shd w:val="clear" w:color="auto" w:fill="auto"/>
            <w:noWrap/>
            <w:vAlign w:val="bottom"/>
            <w:hideMark/>
          </w:tcPr>
          <w:p w14:paraId="1E71EAA5" w14:textId="77777777" w:rsidR="00A668C2" w:rsidRPr="00A668C2" w:rsidRDefault="00A668C2" w:rsidP="00A668C2">
            <w:pPr>
              <w:tabs>
                <w:tab w:val="clear" w:pos="284"/>
              </w:tabs>
              <w:spacing w:after="0" w:line="240" w:lineRule="auto"/>
              <w:jc w:val="right"/>
              <w:rPr>
                <w:sz w:val="20"/>
                <w:szCs w:val="20"/>
              </w:rPr>
            </w:pPr>
            <w:r w:rsidRPr="00A668C2">
              <w:rPr>
                <w:sz w:val="20"/>
                <w:szCs w:val="20"/>
              </w:rPr>
              <w:t>860</w:t>
            </w:r>
          </w:p>
        </w:tc>
        <w:tc>
          <w:tcPr>
            <w:tcW w:w="960" w:type="dxa"/>
            <w:tcBorders>
              <w:top w:val="nil"/>
              <w:left w:val="nil"/>
              <w:bottom w:val="nil"/>
              <w:right w:val="nil"/>
            </w:tcBorders>
            <w:shd w:val="clear" w:color="auto" w:fill="auto"/>
            <w:noWrap/>
            <w:vAlign w:val="bottom"/>
            <w:hideMark/>
          </w:tcPr>
          <w:p w14:paraId="134383A7" w14:textId="77777777" w:rsidR="00A668C2" w:rsidRPr="00A668C2" w:rsidRDefault="00A668C2" w:rsidP="00A668C2">
            <w:pPr>
              <w:tabs>
                <w:tab w:val="clear" w:pos="284"/>
              </w:tabs>
              <w:spacing w:after="0" w:line="240" w:lineRule="auto"/>
              <w:jc w:val="right"/>
              <w:rPr>
                <w:sz w:val="20"/>
                <w:szCs w:val="20"/>
              </w:rPr>
            </w:pPr>
            <w:r w:rsidRPr="00A668C2">
              <w:rPr>
                <w:sz w:val="20"/>
                <w:szCs w:val="20"/>
              </w:rPr>
              <w:t>968</w:t>
            </w:r>
          </w:p>
        </w:tc>
      </w:tr>
      <w:tr w:rsidR="00A668C2" w:rsidRPr="00A668C2" w14:paraId="253E49D9" w14:textId="77777777" w:rsidTr="006667F3">
        <w:trPr>
          <w:trHeight w:val="255"/>
        </w:trPr>
        <w:tc>
          <w:tcPr>
            <w:tcW w:w="1701" w:type="dxa"/>
            <w:tcBorders>
              <w:top w:val="nil"/>
              <w:left w:val="nil"/>
              <w:bottom w:val="nil"/>
              <w:right w:val="nil"/>
            </w:tcBorders>
            <w:shd w:val="clear" w:color="auto" w:fill="auto"/>
            <w:noWrap/>
            <w:vAlign w:val="bottom"/>
            <w:hideMark/>
          </w:tcPr>
          <w:p w14:paraId="4521B55D" w14:textId="77777777" w:rsidR="00A668C2" w:rsidRPr="00A668C2" w:rsidRDefault="00A668C2" w:rsidP="00A668C2">
            <w:pPr>
              <w:tabs>
                <w:tab w:val="clear" w:pos="284"/>
              </w:tabs>
              <w:spacing w:after="0" w:line="240" w:lineRule="auto"/>
              <w:rPr>
                <w:sz w:val="20"/>
                <w:szCs w:val="20"/>
              </w:rPr>
            </w:pPr>
            <w:r w:rsidRPr="00A668C2">
              <w:rPr>
                <w:sz w:val="20"/>
                <w:szCs w:val="20"/>
              </w:rPr>
              <w:t>Switzerland</w:t>
            </w:r>
          </w:p>
        </w:tc>
        <w:tc>
          <w:tcPr>
            <w:tcW w:w="639" w:type="dxa"/>
            <w:tcBorders>
              <w:top w:val="nil"/>
              <w:left w:val="nil"/>
              <w:bottom w:val="nil"/>
              <w:right w:val="nil"/>
            </w:tcBorders>
            <w:shd w:val="clear" w:color="auto" w:fill="auto"/>
            <w:noWrap/>
            <w:vAlign w:val="bottom"/>
            <w:hideMark/>
          </w:tcPr>
          <w:p w14:paraId="39379770" w14:textId="77777777" w:rsidR="00A668C2" w:rsidRPr="00A668C2" w:rsidRDefault="00A668C2" w:rsidP="00A668C2">
            <w:pPr>
              <w:tabs>
                <w:tab w:val="clear" w:pos="284"/>
              </w:tabs>
              <w:spacing w:after="0" w:line="240" w:lineRule="auto"/>
              <w:jc w:val="right"/>
              <w:rPr>
                <w:sz w:val="20"/>
                <w:szCs w:val="20"/>
              </w:rPr>
            </w:pPr>
            <w:r w:rsidRPr="00A668C2">
              <w:rPr>
                <w:sz w:val="20"/>
                <w:szCs w:val="20"/>
              </w:rPr>
              <w:t>387</w:t>
            </w:r>
          </w:p>
        </w:tc>
        <w:tc>
          <w:tcPr>
            <w:tcW w:w="960" w:type="dxa"/>
            <w:tcBorders>
              <w:top w:val="nil"/>
              <w:left w:val="nil"/>
              <w:bottom w:val="nil"/>
              <w:right w:val="nil"/>
            </w:tcBorders>
            <w:shd w:val="clear" w:color="auto" w:fill="auto"/>
            <w:noWrap/>
            <w:vAlign w:val="bottom"/>
            <w:hideMark/>
          </w:tcPr>
          <w:p w14:paraId="24B977AF" w14:textId="77777777" w:rsidR="00A668C2" w:rsidRPr="00A668C2" w:rsidRDefault="00A668C2" w:rsidP="00A668C2">
            <w:pPr>
              <w:tabs>
                <w:tab w:val="clear" w:pos="284"/>
              </w:tabs>
              <w:spacing w:after="0" w:line="240" w:lineRule="auto"/>
              <w:jc w:val="right"/>
              <w:rPr>
                <w:sz w:val="20"/>
                <w:szCs w:val="20"/>
              </w:rPr>
            </w:pPr>
            <w:r w:rsidRPr="00A668C2">
              <w:rPr>
                <w:sz w:val="20"/>
                <w:szCs w:val="20"/>
              </w:rPr>
              <w:t>430</w:t>
            </w:r>
          </w:p>
        </w:tc>
        <w:tc>
          <w:tcPr>
            <w:tcW w:w="960" w:type="dxa"/>
            <w:tcBorders>
              <w:top w:val="nil"/>
              <w:left w:val="nil"/>
              <w:bottom w:val="nil"/>
              <w:right w:val="nil"/>
            </w:tcBorders>
            <w:shd w:val="clear" w:color="auto" w:fill="auto"/>
            <w:noWrap/>
            <w:vAlign w:val="bottom"/>
            <w:hideMark/>
          </w:tcPr>
          <w:p w14:paraId="7A313FCD" w14:textId="77777777" w:rsidR="00A668C2" w:rsidRPr="00A668C2" w:rsidRDefault="00A668C2" w:rsidP="00A668C2">
            <w:pPr>
              <w:tabs>
                <w:tab w:val="clear" w:pos="284"/>
              </w:tabs>
              <w:spacing w:after="0" w:line="240" w:lineRule="auto"/>
              <w:jc w:val="right"/>
              <w:rPr>
                <w:sz w:val="20"/>
                <w:szCs w:val="20"/>
              </w:rPr>
            </w:pPr>
            <w:r w:rsidRPr="00A668C2">
              <w:rPr>
                <w:sz w:val="20"/>
                <w:szCs w:val="20"/>
              </w:rPr>
              <w:t>491</w:t>
            </w:r>
          </w:p>
        </w:tc>
        <w:tc>
          <w:tcPr>
            <w:tcW w:w="960" w:type="dxa"/>
            <w:tcBorders>
              <w:top w:val="nil"/>
              <w:left w:val="nil"/>
              <w:bottom w:val="nil"/>
              <w:right w:val="nil"/>
            </w:tcBorders>
            <w:shd w:val="clear" w:color="auto" w:fill="auto"/>
            <w:noWrap/>
            <w:vAlign w:val="bottom"/>
            <w:hideMark/>
          </w:tcPr>
          <w:p w14:paraId="4E698366" w14:textId="77777777" w:rsidR="00A668C2" w:rsidRPr="00A668C2" w:rsidRDefault="00A668C2" w:rsidP="00A668C2">
            <w:pPr>
              <w:tabs>
                <w:tab w:val="clear" w:pos="284"/>
              </w:tabs>
              <w:spacing w:after="0" w:line="240" w:lineRule="auto"/>
              <w:jc w:val="right"/>
              <w:rPr>
                <w:sz w:val="20"/>
                <w:szCs w:val="20"/>
              </w:rPr>
            </w:pPr>
            <w:r w:rsidRPr="00A668C2">
              <w:rPr>
                <w:sz w:val="20"/>
                <w:szCs w:val="20"/>
              </w:rPr>
              <w:t>579</w:t>
            </w:r>
          </w:p>
        </w:tc>
        <w:tc>
          <w:tcPr>
            <w:tcW w:w="960" w:type="dxa"/>
            <w:tcBorders>
              <w:top w:val="nil"/>
              <w:left w:val="nil"/>
              <w:bottom w:val="nil"/>
              <w:right w:val="nil"/>
            </w:tcBorders>
            <w:shd w:val="clear" w:color="auto" w:fill="auto"/>
            <w:noWrap/>
            <w:vAlign w:val="bottom"/>
            <w:hideMark/>
          </w:tcPr>
          <w:p w14:paraId="40E2B77F" w14:textId="77777777" w:rsidR="00A668C2" w:rsidRPr="00A668C2" w:rsidRDefault="00A668C2" w:rsidP="00A668C2">
            <w:pPr>
              <w:tabs>
                <w:tab w:val="clear" w:pos="284"/>
              </w:tabs>
              <w:spacing w:after="0" w:line="240" w:lineRule="auto"/>
              <w:jc w:val="right"/>
              <w:rPr>
                <w:sz w:val="20"/>
                <w:szCs w:val="20"/>
              </w:rPr>
            </w:pPr>
            <w:r w:rsidRPr="00A668C2">
              <w:rPr>
                <w:sz w:val="20"/>
                <w:szCs w:val="20"/>
              </w:rPr>
              <w:t>573</w:t>
            </w:r>
          </w:p>
        </w:tc>
        <w:tc>
          <w:tcPr>
            <w:tcW w:w="960" w:type="dxa"/>
            <w:tcBorders>
              <w:top w:val="nil"/>
              <w:left w:val="nil"/>
              <w:bottom w:val="nil"/>
              <w:right w:val="nil"/>
            </w:tcBorders>
            <w:shd w:val="clear" w:color="auto" w:fill="auto"/>
            <w:noWrap/>
            <w:vAlign w:val="bottom"/>
            <w:hideMark/>
          </w:tcPr>
          <w:p w14:paraId="54A65C00" w14:textId="77777777" w:rsidR="00A668C2" w:rsidRPr="00A668C2" w:rsidRDefault="00A668C2" w:rsidP="00A668C2">
            <w:pPr>
              <w:tabs>
                <w:tab w:val="clear" w:pos="284"/>
              </w:tabs>
              <w:spacing w:after="0" w:line="240" w:lineRule="auto"/>
              <w:jc w:val="right"/>
              <w:rPr>
                <w:sz w:val="20"/>
                <w:szCs w:val="20"/>
              </w:rPr>
            </w:pPr>
            <w:r w:rsidRPr="00A668C2">
              <w:rPr>
                <w:sz w:val="20"/>
                <w:szCs w:val="20"/>
              </w:rPr>
              <w:t>531</w:t>
            </w:r>
          </w:p>
        </w:tc>
        <w:tc>
          <w:tcPr>
            <w:tcW w:w="960" w:type="dxa"/>
            <w:tcBorders>
              <w:top w:val="nil"/>
              <w:left w:val="nil"/>
              <w:bottom w:val="nil"/>
              <w:right w:val="nil"/>
            </w:tcBorders>
            <w:shd w:val="clear" w:color="auto" w:fill="auto"/>
            <w:noWrap/>
            <w:vAlign w:val="bottom"/>
            <w:hideMark/>
          </w:tcPr>
          <w:p w14:paraId="0D24562D" w14:textId="77777777" w:rsidR="00A668C2" w:rsidRPr="00A668C2" w:rsidRDefault="00A668C2" w:rsidP="00A668C2">
            <w:pPr>
              <w:tabs>
                <w:tab w:val="clear" w:pos="284"/>
              </w:tabs>
              <w:spacing w:after="0" w:line="240" w:lineRule="auto"/>
              <w:jc w:val="right"/>
              <w:rPr>
                <w:sz w:val="20"/>
                <w:szCs w:val="20"/>
              </w:rPr>
            </w:pPr>
            <w:r w:rsidRPr="00A668C2">
              <w:rPr>
                <w:sz w:val="20"/>
                <w:szCs w:val="20"/>
              </w:rPr>
              <w:t>567</w:t>
            </w:r>
          </w:p>
        </w:tc>
        <w:tc>
          <w:tcPr>
            <w:tcW w:w="960" w:type="dxa"/>
            <w:tcBorders>
              <w:top w:val="nil"/>
              <w:left w:val="nil"/>
              <w:bottom w:val="nil"/>
              <w:right w:val="nil"/>
            </w:tcBorders>
            <w:shd w:val="clear" w:color="auto" w:fill="auto"/>
            <w:noWrap/>
            <w:vAlign w:val="bottom"/>
            <w:hideMark/>
          </w:tcPr>
          <w:p w14:paraId="460ABE96" w14:textId="77777777" w:rsidR="00A668C2" w:rsidRPr="00A668C2" w:rsidRDefault="00A668C2" w:rsidP="00A668C2">
            <w:pPr>
              <w:tabs>
                <w:tab w:val="clear" w:pos="284"/>
              </w:tabs>
              <w:spacing w:after="0" w:line="240" w:lineRule="auto"/>
              <w:jc w:val="right"/>
              <w:rPr>
                <w:sz w:val="20"/>
                <w:szCs w:val="20"/>
              </w:rPr>
            </w:pPr>
            <w:r w:rsidRPr="00A668C2">
              <w:rPr>
                <w:sz w:val="20"/>
                <w:szCs w:val="20"/>
              </w:rPr>
              <w:t>602</w:t>
            </w:r>
          </w:p>
        </w:tc>
      </w:tr>
      <w:tr w:rsidR="00A668C2" w:rsidRPr="00A668C2" w14:paraId="084F6939" w14:textId="77777777" w:rsidTr="006667F3">
        <w:trPr>
          <w:trHeight w:val="255"/>
        </w:trPr>
        <w:tc>
          <w:tcPr>
            <w:tcW w:w="1701" w:type="dxa"/>
            <w:tcBorders>
              <w:top w:val="nil"/>
              <w:left w:val="nil"/>
              <w:bottom w:val="nil"/>
              <w:right w:val="nil"/>
            </w:tcBorders>
            <w:shd w:val="clear" w:color="auto" w:fill="auto"/>
            <w:noWrap/>
            <w:vAlign w:val="bottom"/>
            <w:hideMark/>
          </w:tcPr>
          <w:p w14:paraId="61A3DD00" w14:textId="77777777" w:rsidR="00A668C2" w:rsidRPr="00A668C2" w:rsidRDefault="00A668C2" w:rsidP="00A668C2">
            <w:pPr>
              <w:tabs>
                <w:tab w:val="clear" w:pos="284"/>
              </w:tabs>
              <w:spacing w:after="0" w:line="240" w:lineRule="auto"/>
              <w:rPr>
                <w:sz w:val="20"/>
                <w:szCs w:val="20"/>
              </w:rPr>
            </w:pPr>
            <w:r w:rsidRPr="00A668C2">
              <w:rPr>
                <w:sz w:val="20"/>
                <w:szCs w:val="20"/>
              </w:rPr>
              <w:t>Denmark</w:t>
            </w:r>
          </w:p>
        </w:tc>
        <w:tc>
          <w:tcPr>
            <w:tcW w:w="639" w:type="dxa"/>
            <w:tcBorders>
              <w:top w:val="nil"/>
              <w:left w:val="nil"/>
              <w:bottom w:val="nil"/>
              <w:right w:val="nil"/>
            </w:tcBorders>
            <w:shd w:val="clear" w:color="auto" w:fill="auto"/>
            <w:noWrap/>
            <w:vAlign w:val="bottom"/>
            <w:hideMark/>
          </w:tcPr>
          <w:p w14:paraId="66623AAA" w14:textId="77777777" w:rsidR="00A668C2" w:rsidRPr="00A668C2" w:rsidRDefault="00A668C2" w:rsidP="00A668C2">
            <w:pPr>
              <w:tabs>
                <w:tab w:val="clear" w:pos="284"/>
              </w:tabs>
              <w:spacing w:after="0" w:line="240" w:lineRule="auto"/>
              <w:jc w:val="right"/>
              <w:rPr>
                <w:sz w:val="20"/>
                <w:szCs w:val="20"/>
              </w:rPr>
            </w:pPr>
            <w:r w:rsidRPr="00A668C2">
              <w:rPr>
                <w:sz w:val="20"/>
                <w:szCs w:val="20"/>
              </w:rPr>
              <w:t>469</w:t>
            </w:r>
          </w:p>
        </w:tc>
        <w:tc>
          <w:tcPr>
            <w:tcW w:w="960" w:type="dxa"/>
            <w:tcBorders>
              <w:top w:val="nil"/>
              <w:left w:val="nil"/>
              <w:bottom w:val="nil"/>
              <w:right w:val="nil"/>
            </w:tcBorders>
            <w:shd w:val="clear" w:color="auto" w:fill="auto"/>
            <w:noWrap/>
            <w:vAlign w:val="bottom"/>
            <w:hideMark/>
          </w:tcPr>
          <w:p w14:paraId="61717AA6" w14:textId="77777777" w:rsidR="00A668C2" w:rsidRPr="00A668C2" w:rsidRDefault="00A668C2" w:rsidP="00A668C2">
            <w:pPr>
              <w:tabs>
                <w:tab w:val="clear" w:pos="284"/>
              </w:tabs>
              <w:spacing w:after="0" w:line="240" w:lineRule="auto"/>
              <w:jc w:val="right"/>
              <w:rPr>
                <w:sz w:val="20"/>
                <w:szCs w:val="20"/>
              </w:rPr>
            </w:pPr>
            <w:r w:rsidRPr="00A668C2">
              <w:rPr>
                <w:sz w:val="20"/>
                <w:szCs w:val="20"/>
              </w:rPr>
              <w:t>480</w:t>
            </w:r>
          </w:p>
        </w:tc>
        <w:tc>
          <w:tcPr>
            <w:tcW w:w="960" w:type="dxa"/>
            <w:tcBorders>
              <w:top w:val="nil"/>
              <w:left w:val="nil"/>
              <w:bottom w:val="nil"/>
              <w:right w:val="nil"/>
            </w:tcBorders>
            <w:shd w:val="clear" w:color="auto" w:fill="auto"/>
            <w:noWrap/>
            <w:vAlign w:val="bottom"/>
            <w:hideMark/>
          </w:tcPr>
          <w:p w14:paraId="597B2BE9" w14:textId="77777777" w:rsidR="00A668C2" w:rsidRPr="00A668C2" w:rsidRDefault="00A668C2" w:rsidP="00A668C2">
            <w:pPr>
              <w:tabs>
                <w:tab w:val="clear" w:pos="284"/>
              </w:tabs>
              <w:spacing w:after="0" w:line="240" w:lineRule="auto"/>
              <w:jc w:val="right"/>
              <w:rPr>
                <w:sz w:val="20"/>
                <w:szCs w:val="20"/>
              </w:rPr>
            </w:pPr>
            <w:r w:rsidRPr="00A668C2">
              <w:rPr>
                <w:sz w:val="20"/>
                <w:szCs w:val="20"/>
              </w:rPr>
              <w:t>543</w:t>
            </w:r>
          </w:p>
        </w:tc>
        <w:tc>
          <w:tcPr>
            <w:tcW w:w="960" w:type="dxa"/>
            <w:tcBorders>
              <w:top w:val="nil"/>
              <w:left w:val="nil"/>
              <w:bottom w:val="nil"/>
              <w:right w:val="nil"/>
            </w:tcBorders>
            <w:shd w:val="clear" w:color="auto" w:fill="auto"/>
            <w:noWrap/>
            <w:vAlign w:val="bottom"/>
            <w:hideMark/>
          </w:tcPr>
          <w:p w14:paraId="65508247" w14:textId="77777777" w:rsidR="00A668C2" w:rsidRPr="00A668C2" w:rsidRDefault="00A668C2" w:rsidP="00A668C2">
            <w:pPr>
              <w:tabs>
                <w:tab w:val="clear" w:pos="284"/>
              </w:tabs>
              <w:spacing w:after="0" w:line="240" w:lineRule="auto"/>
              <w:jc w:val="right"/>
              <w:rPr>
                <w:sz w:val="20"/>
                <w:szCs w:val="20"/>
              </w:rPr>
            </w:pPr>
            <w:r w:rsidRPr="00A668C2">
              <w:rPr>
                <w:sz w:val="20"/>
                <w:szCs w:val="20"/>
              </w:rPr>
              <w:t>660</w:t>
            </w:r>
          </w:p>
        </w:tc>
        <w:tc>
          <w:tcPr>
            <w:tcW w:w="960" w:type="dxa"/>
            <w:tcBorders>
              <w:top w:val="nil"/>
              <w:left w:val="nil"/>
              <w:bottom w:val="nil"/>
              <w:right w:val="nil"/>
            </w:tcBorders>
            <w:shd w:val="clear" w:color="auto" w:fill="auto"/>
            <w:noWrap/>
            <w:vAlign w:val="bottom"/>
            <w:hideMark/>
          </w:tcPr>
          <w:p w14:paraId="5CA2C890" w14:textId="77777777" w:rsidR="00A668C2" w:rsidRPr="00A668C2" w:rsidRDefault="00A668C2" w:rsidP="00A668C2">
            <w:pPr>
              <w:tabs>
                <w:tab w:val="clear" w:pos="284"/>
              </w:tabs>
              <w:spacing w:after="0" w:line="240" w:lineRule="auto"/>
              <w:jc w:val="right"/>
              <w:rPr>
                <w:sz w:val="20"/>
                <w:szCs w:val="20"/>
              </w:rPr>
            </w:pPr>
            <w:r w:rsidRPr="00A668C2">
              <w:rPr>
                <w:sz w:val="20"/>
                <w:szCs w:val="20"/>
              </w:rPr>
              <w:t>411</w:t>
            </w:r>
          </w:p>
        </w:tc>
        <w:tc>
          <w:tcPr>
            <w:tcW w:w="960" w:type="dxa"/>
            <w:tcBorders>
              <w:top w:val="nil"/>
              <w:left w:val="nil"/>
              <w:bottom w:val="nil"/>
              <w:right w:val="nil"/>
            </w:tcBorders>
            <w:shd w:val="clear" w:color="auto" w:fill="auto"/>
            <w:noWrap/>
            <w:vAlign w:val="bottom"/>
            <w:hideMark/>
          </w:tcPr>
          <w:p w14:paraId="6BF5364B" w14:textId="77777777" w:rsidR="00A668C2" w:rsidRPr="00A668C2" w:rsidRDefault="00A668C2" w:rsidP="00A668C2">
            <w:pPr>
              <w:tabs>
                <w:tab w:val="clear" w:pos="284"/>
              </w:tabs>
              <w:spacing w:after="0" w:line="240" w:lineRule="auto"/>
              <w:jc w:val="right"/>
              <w:rPr>
                <w:sz w:val="20"/>
                <w:szCs w:val="20"/>
              </w:rPr>
            </w:pPr>
            <w:r w:rsidRPr="00A668C2">
              <w:rPr>
                <w:sz w:val="20"/>
                <w:szCs w:val="20"/>
              </w:rPr>
              <w:t>417</w:t>
            </w:r>
          </w:p>
        </w:tc>
        <w:tc>
          <w:tcPr>
            <w:tcW w:w="960" w:type="dxa"/>
            <w:tcBorders>
              <w:top w:val="nil"/>
              <w:left w:val="nil"/>
              <w:bottom w:val="nil"/>
              <w:right w:val="nil"/>
            </w:tcBorders>
            <w:shd w:val="clear" w:color="auto" w:fill="auto"/>
            <w:noWrap/>
            <w:vAlign w:val="bottom"/>
            <w:hideMark/>
          </w:tcPr>
          <w:p w14:paraId="3930D05C" w14:textId="77777777" w:rsidR="00A668C2" w:rsidRPr="00A668C2" w:rsidRDefault="00A668C2" w:rsidP="00A668C2">
            <w:pPr>
              <w:tabs>
                <w:tab w:val="clear" w:pos="284"/>
              </w:tabs>
              <w:spacing w:after="0" w:line="240" w:lineRule="auto"/>
              <w:jc w:val="right"/>
              <w:rPr>
                <w:sz w:val="20"/>
                <w:szCs w:val="20"/>
              </w:rPr>
            </w:pPr>
            <w:r w:rsidRPr="00A668C2">
              <w:rPr>
                <w:sz w:val="20"/>
                <w:szCs w:val="20"/>
              </w:rPr>
              <w:t>548</w:t>
            </w:r>
          </w:p>
        </w:tc>
        <w:tc>
          <w:tcPr>
            <w:tcW w:w="960" w:type="dxa"/>
            <w:tcBorders>
              <w:top w:val="nil"/>
              <w:left w:val="nil"/>
              <w:bottom w:val="nil"/>
              <w:right w:val="nil"/>
            </w:tcBorders>
            <w:shd w:val="clear" w:color="auto" w:fill="auto"/>
            <w:noWrap/>
            <w:vAlign w:val="bottom"/>
            <w:hideMark/>
          </w:tcPr>
          <w:p w14:paraId="20B62FAB" w14:textId="77777777" w:rsidR="00A668C2" w:rsidRPr="00A668C2" w:rsidRDefault="00A668C2" w:rsidP="00A668C2">
            <w:pPr>
              <w:tabs>
                <w:tab w:val="clear" w:pos="284"/>
              </w:tabs>
              <w:spacing w:after="0" w:line="240" w:lineRule="auto"/>
              <w:jc w:val="right"/>
              <w:rPr>
                <w:sz w:val="20"/>
                <w:szCs w:val="20"/>
              </w:rPr>
            </w:pPr>
            <w:r w:rsidRPr="00A668C2">
              <w:rPr>
                <w:sz w:val="20"/>
                <w:szCs w:val="20"/>
              </w:rPr>
              <w:t>574</w:t>
            </w:r>
          </w:p>
        </w:tc>
      </w:tr>
      <w:tr w:rsidR="00A668C2" w:rsidRPr="00A668C2" w14:paraId="4974C5CE" w14:textId="77777777" w:rsidTr="006667F3">
        <w:trPr>
          <w:trHeight w:val="255"/>
        </w:trPr>
        <w:tc>
          <w:tcPr>
            <w:tcW w:w="1701" w:type="dxa"/>
            <w:tcBorders>
              <w:top w:val="nil"/>
              <w:left w:val="nil"/>
              <w:bottom w:val="nil"/>
              <w:right w:val="nil"/>
            </w:tcBorders>
            <w:shd w:val="clear" w:color="auto" w:fill="auto"/>
            <w:noWrap/>
            <w:vAlign w:val="bottom"/>
            <w:hideMark/>
          </w:tcPr>
          <w:p w14:paraId="698468BA" w14:textId="77777777" w:rsidR="00A668C2" w:rsidRPr="00A668C2" w:rsidRDefault="00A668C2" w:rsidP="00A668C2">
            <w:pPr>
              <w:tabs>
                <w:tab w:val="clear" w:pos="284"/>
              </w:tabs>
              <w:spacing w:after="0" w:line="240" w:lineRule="auto"/>
              <w:rPr>
                <w:sz w:val="20"/>
                <w:szCs w:val="20"/>
              </w:rPr>
            </w:pPr>
            <w:r w:rsidRPr="00A668C2">
              <w:rPr>
                <w:sz w:val="20"/>
                <w:szCs w:val="20"/>
              </w:rPr>
              <w:t>France</w:t>
            </w:r>
          </w:p>
        </w:tc>
        <w:tc>
          <w:tcPr>
            <w:tcW w:w="639" w:type="dxa"/>
            <w:tcBorders>
              <w:top w:val="nil"/>
              <w:left w:val="nil"/>
              <w:bottom w:val="nil"/>
              <w:right w:val="nil"/>
            </w:tcBorders>
            <w:shd w:val="clear" w:color="auto" w:fill="auto"/>
            <w:noWrap/>
            <w:vAlign w:val="bottom"/>
            <w:hideMark/>
          </w:tcPr>
          <w:p w14:paraId="17B28A2E" w14:textId="77777777" w:rsidR="00A668C2" w:rsidRPr="00A668C2" w:rsidRDefault="00A668C2" w:rsidP="00A668C2">
            <w:pPr>
              <w:tabs>
                <w:tab w:val="clear" w:pos="284"/>
              </w:tabs>
              <w:spacing w:after="0" w:line="240" w:lineRule="auto"/>
              <w:jc w:val="right"/>
              <w:rPr>
                <w:sz w:val="20"/>
                <w:szCs w:val="20"/>
              </w:rPr>
            </w:pPr>
            <w:r w:rsidRPr="00A668C2">
              <w:rPr>
                <w:sz w:val="20"/>
                <w:szCs w:val="20"/>
              </w:rPr>
              <w:t>320</w:t>
            </w:r>
          </w:p>
        </w:tc>
        <w:tc>
          <w:tcPr>
            <w:tcW w:w="960" w:type="dxa"/>
            <w:tcBorders>
              <w:top w:val="nil"/>
              <w:left w:val="nil"/>
              <w:bottom w:val="nil"/>
              <w:right w:val="nil"/>
            </w:tcBorders>
            <w:shd w:val="clear" w:color="auto" w:fill="auto"/>
            <w:noWrap/>
            <w:vAlign w:val="bottom"/>
            <w:hideMark/>
          </w:tcPr>
          <w:p w14:paraId="376BBBB0" w14:textId="77777777" w:rsidR="00A668C2" w:rsidRPr="00A668C2" w:rsidRDefault="00A668C2" w:rsidP="00A668C2">
            <w:pPr>
              <w:tabs>
                <w:tab w:val="clear" w:pos="284"/>
              </w:tabs>
              <w:spacing w:after="0" w:line="240" w:lineRule="auto"/>
              <w:jc w:val="right"/>
              <w:rPr>
                <w:sz w:val="20"/>
                <w:szCs w:val="20"/>
              </w:rPr>
            </w:pPr>
            <w:r w:rsidRPr="00A668C2">
              <w:rPr>
                <w:sz w:val="20"/>
                <w:szCs w:val="20"/>
              </w:rPr>
              <w:t>279</w:t>
            </w:r>
          </w:p>
        </w:tc>
        <w:tc>
          <w:tcPr>
            <w:tcW w:w="960" w:type="dxa"/>
            <w:tcBorders>
              <w:top w:val="nil"/>
              <w:left w:val="nil"/>
              <w:bottom w:val="nil"/>
              <w:right w:val="nil"/>
            </w:tcBorders>
            <w:shd w:val="clear" w:color="auto" w:fill="auto"/>
            <w:noWrap/>
            <w:vAlign w:val="bottom"/>
            <w:hideMark/>
          </w:tcPr>
          <w:p w14:paraId="3B0C1286" w14:textId="77777777" w:rsidR="00A668C2" w:rsidRPr="00A668C2" w:rsidRDefault="00A668C2" w:rsidP="00A668C2">
            <w:pPr>
              <w:tabs>
                <w:tab w:val="clear" w:pos="284"/>
              </w:tabs>
              <w:spacing w:after="0" w:line="240" w:lineRule="auto"/>
              <w:jc w:val="right"/>
              <w:rPr>
                <w:sz w:val="20"/>
                <w:szCs w:val="20"/>
              </w:rPr>
            </w:pPr>
            <w:r w:rsidRPr="00A668C2">
              <w:rPr>
                <w:sz w:val="20"/>
                <w:szCs w:val="20"/>
              </w:rPr>
              <w:t>321</w:t>
            </w:r>
          </w:p>
        </w:tc>
        <w:tc>
          <w:tcPr>
            <w:tcW w:w="960" w:type="dxa"/>
            <w:tcBorders>
              <w:top w:val="nil"/>
              <w:left w:val="nil"/>
              <w:bottom w:val="nil"/>
              <w:right w:val="nil"/>
            </w:tcBorders>
            <w:shd w:val="clear" w:color="auto" w:fill="auto"/>
            <w:noWrap/>
            <w:vAlign w:val="bottom"/>
            <w:hideMark/>
          </w:tcPr>
          <w:p w14:paraId="592F7260" w14:textId="77777777" w:rsidR="00A668C2" w:rsidRPr="00A668C2" w:rsidRDefault="00A668C2" w:rsidP="00A668C2">
            <w:pPr>
              <w:tabs>
                <w:tab w:val="clear" w:pos="284"/>
              </w:tabs>
              <w:spacing w:after="0" w:line="240" w:lineRule="auto"/>
              <w:jc w:val="right"/>
              <w:rPr>
                <w:sz w:val="20"/>
                <w:szCs w:val="20"/>
              </w:rPr>
            </w:pPr>
            <w:r w:rsidRPr="00A668C2">
              <w:rPr>
                <w:sz w:val="20"/>
                <w:szCs w:val="20"/>
              </w:rPr>
              <w:t>284</w:t>
            </w:r>
          </w:p>
        </w:tc>
        <w:tc>
          <w:tcPr>
            <w:tcW w:w="960" w:type="dxa"/>
            <w:tcBorders>
              <w:top w:val="nil"/>
              <w:left w:val="nil"/>
              <w:bottom w:val="nil"/>
              <w:right w:val="nil"/>
            </w:tcBorders>
            <w:shd w:val="clear" w:color="auto" w:fill="auto"/>
            <w:noWrap/>
            <w:vAlign w:val="bottom"/>
            <w:hideMark/>
          </w:tcPr>
          <w:p w14:paraId="0C43A299" w14:textId="77777777" w:rsidR="00A668C2" w:rsidRPr="00A668C2" w:rsidRDefault="00A668C2" w:rsidP="00A668C2">
            <w:pPr>
              <w:tabs>
                <w:tab w:val="clear" w:pos="284"/>
              </w:tabs>
              <w:spacing w:after="0" w:line="240" w:lineRule="auto"/>
              <w:jc w:val="right"/>
              <w:rPr>
                <w:sz w:val="20"/>
                <w:szCs w:val="20"/>
              </w:rPr>
            </w:pPr>
            <w:r w:rsidRPr="00A668C2">
              <w:rPr>
                <w:sz w:val="20"/>
                <w:szCs w:val="20"/>
              </w:rPr>
              <w:t>306</w:t>
            </w:r>
          </w:p>
        </w:tc>
        <w:tc>
          <w:tcPr>
            <w:tcW w:w="960" w:type="dxa"/>
            <w:tcBorders>
              <w:top w:val="nil"/>
              <w:left w:val="nil"/>
              <w:bottom w:val="nil"/>
              <w:right w:val="nil"/>
            </w:tcBorders>
            <w:shd w:val="clear" w:color="auto" w:fill="auto"/>
            <w:noWrap/>
            <w:vAlign w:val="bottom"/>
            <w:hideMark/>
          </w:tcPr>
          <w:p w14:paraId="19C17345" w14:textId="77777777" w:rsidR="00A668C2" w:rsidRPr="00A668C2" w:rsidRDefault="00A668C2" w:rsidP="00A668C2">
            <w:pPr>
              <w:tabs>
                <w:tab w:val="clear" w:pos="284"/>
              </w:tabs>
              <w:spacing w:after="0" w:line="240" w:lineRule="auto"/>
              <w:jc w:val="right"/>
              <w:rPr>
                <w:sz w:val="20"/>
                <w:szCs w:val="20"/>
              </w:rPr>
            </w:pPr>
            <w:r w:rsidRPr="00A668C2">
              <w:rPr>
                <w:sz w:val="20"/>
                <w:szCs w:val="20"/>
              </w:rPr>
              <w:t>315</w:t>
            </w:r>
          </w:p>
        </w:tc>
        <w:tc>
          <w:tcPr>
            <w:tcW w:w="960" w:type="dxa"/>
            <w:tcBorders>
              <w:top w:val="nil"/>
              <w:left w:val="nil"/>
              <w:bottom w:val="nil"/>
              <w:right w:val="nil"/>
            </w:tcBorders>
            <w:shd w:val="clear" w:color="auto" w:fill="auto"/>
            <w:noWrap/>
            <w:vAlign w:val="bottom"/>
            <w:hideMark/>
          </w:tcPr>
          <w:p w14:paraId="2D6FCD93" w14:textId="77777777" w:rsidR="00A668C2" w:rsidRPr="00A668C2" w:rsidRDefault="00A668C2" w:rsidP="00A668C2">
            <w:pPr>
              <w:tabs>
                <w:tab w:val="clear" w:pos="284"/>
              </w:tabs>
              <w:spacing w:after="0" w:line="240" w:lineRule="auto"/>
              <w:jc w:val="right"/>
              <w:rPr>
                <w:sz w:val="20"/>
                <w:szCs w:val="20"/>
              </w:rPr>
            </w:pPr>
            <w:r w:rsidRPr="00A668C2">
              <w:rPr>
                <w:sz w:val="20"/>
                <w:szCs w:val="20"/>
              </w:rPr>
              <w:t>314</w:t>
            </w:r>
          </w:p>
        </w:tc>
        <w:tc>
          <w:tcPr>
            <w:tcW w:w="960" w:type="dxa"/>
            <w:tcBorders>
              <w:top w:val="nil"/>
              <w:left w:val="nil"/>
              <w:bottom w:val="nil"/>
              <w:right w:val="nil"/>
            </w:tcBorders>
            <w:shd w:val="clear" w:color="auto" w:fill="auto"/>
            <w:noWrap/>
            <w:vAlign w:val="bottom"/>
            <w:hideMark/>
          </w:tcPr>
          <w:p w14:paraId="352E3A06" w14:textId="77777777" w:rsidR="00A668C2" w:rsidRPr="00A668C2" w:rsidRDefault="00A668C2" w:rsidP="00A668C2">
            <w:pPr>
              <w:tabs>
                <w:tab w:val="clear" w:pos="284"/>
              </w:tabs>
              <w:spacing w:after="0" w:line="240" w:lineRule="auto"/>
              <w:jc w:val="right"/>
              <w:rPr>
                <w:sz w:val="20"/>
                <w:szCs w:val="20"/>
              </w:rPr>
            </w:pPr>
            <w:r w:rsidRPr="00A668C2">
              <w:rPr>
                <w:sz w:val="20"/>
                <w:szCs w:val="20"/>
              </w:rPr>
              <w:t>477</w:t>
            </w:r>
          </w:p>
        </w:tc>
      </w:tr>
      <w:tr w:rsidR="00A668C2" w:rsidRPr="00A668C2" w14:paraId="1F77CBA6" w14:textId="77777777" w:rsidTr="006667F3">
        <w:trPr>
          <w:trHeight w:val="255"/>
        </w:trPr>
        <w:tc>
          <w:tcPr>
            <w:tcW w:w="1701" w:type="dxa"/>
            <w:tcBorders>
              <w:top w:val="nil"/>
              <w:left w:val="nil"/>
              <w:bottom w:val="nil"/>
              <w:right w:val="nil"/>
            </w:tcBorders>
            <w:shd w:val="clear" w:color="auto" w:fill="auto"/>
            <w:noWrap/>
            <w:vAlign w:val="bottom"/>
            <w:hideMark/>
          </w:tcPr>
          <w:p w14:paraId="1FD55092" w14:textId="77777777" w:rsidR="00A668C2" w:rsidRPr="00A668C2" w:rsidRDefault="00A668C2" w:rsidP="00A668C2">
            <w:pPr>
              <w:tabs>
                <w:tab w:val="clear" w:pos="284"/>
              </w:tabs>
              <w:spacing w:after="0" w:line="240" w:lineRule="auto"/>
              <w:rPr>
                <w:sz w:val="20"/>
                <w:szCs w:val="20"/>
              </w:rPr>
            </w:pPr>
            <w:r w:rsidRPr="00A668C2">
              <w:rPr>
                <w:sz w:val="20"/>
                <w:szCs w:val="20"/>
              </w:rPr>
              <w:t>Italy</w:t>
            </w:r>
          </w:p>
        </w:tc>
        <w:tc>
          <w:tcPr>
            <w:tcW w:w="639" w:type="dxa"/>
            <w:tcBorders>
              <w:top w:val="nil"/>
              <w:left w:val="nil"/>
              <w:bottom w:val="nil"/>
              <w:right w:val="nil"/>
            </w:tcBorders>
            <w:shd w:val="clear" w:color="auto" w:fill="auto"/>
            <w:noWrap/>
            <w:vAlign w:val="bottom"/>
            <w:hideMark/>
          </w:tcPr>
          <w:p w14:paraId="5580B79F" w14:textId="77777777" w:rsidR="00A668C2" w:rsidRPr="00A668C2" w:rsidRDefault="00A668C2" w:rsidP="00A668C2">
            <w:pPr>
              <w:tabs>
                <w:tab w:val="clear" w:pos="284"/>
              </w:tabs>
              <w:spacing w:after="0" w:line="240" w:lineRule="auto"/>
              <w:jc w:val="right"/>
              <w:rPr>
                <w:sz w:val="20"/>
                <w:szCs w:val="20"/>
              </w:rPr>
            </w:pPr>
            <w:r w:rsidRPr="00A668C2">
              <w:rPr>
                <w:sz w:val="20"/>
                <w:szCs w:val="20"/>
              </w:rPr>
              <w:t>226</w:t>
            </w:r>
          </w:p>
        </w:tc>
        <w:tc>
          <w:tcPr>
            <w:tcW w:w="960" w:type="dxa"/>
            <w:tcBorders>
              <w:top w:val="nil"/>
              <w:left w:val="nil"/>
              <w:bottom w:val="nil"/>
              <w:right w:val="nil"/>
            </w:tcBorders>
            <w:shd w:val="clear" w:color="auto" w:fill="auto"/>
            <w:noWrap/>
            <w:vAlign w:val="bottom"/>
            <w:hideMark/>
          </w:tcPr>
          <w:p w14:paraId="46112CA6" w14:textId="77777777" w:rsidR="00A668C2" w:rsidRPr="00A668C2" w:rsidRDefault="00A668C2" w:rsidP="00A668C2">
            <w:pPr>
              <w:tabs>
                <w:tab w:val="clear" w:pos="284"/>
              </w:tabs>
              <w:spacing w:after="0" w:line="240" w:lineRule="auto"/>
              <w:jc w:val="right"/>
              <w:rPr>
                <w:sz w:val="20"/>
                <w:szCs w:val="20"/>
              </w:rPr>
            </w:pPr>
            <w:r w:rsidRPr="00A668C2">
              <w:rPr>
                <w:sz w:val="20"/>
                <w:szCs w:val="20"/>
              </w:rPr>
              <w:t>232</w:t>
            </w:r>
          </w:p>
        </w:tc>
        <w:tc>
          <w:tcPr>
            <w:tcW w:w="960" w:type="dxa"/>
            <w:tcBorders>
              <w:top w:val="nil"/>
              <w:left w:val="nil"/>
              <w:bottom w:val="nil"/>
              <w:right w:val="nil"/>
            </w:tcBorders>
            <w:shd w:val="clear" w:color="auto" w:fill="auto"/>
            <w:noWrap/>
            <w:vAlign w:val="bottom"/>
            <w:hideMark/>
          </w:tcPr>
          <w:p w14:paraId="1BEAA6A3" w14:textId="77777777" w:rsidR="00A668C2" w:rsidRPr="00A668C2" w:rsidRDefault="00A668C2" w:rsidP="00A668C2">
            <w:pPr>
              <w:tabs>
                <w:tab w:val="clear" w:pos="284"/>
              </w:tabs>
              <w:spacing w:after="0" w:line="240" w:lineRule="auto"/>
              <w:jc w:val="right"/>
              <w:rPr>
                <w:sz w:val="20"/>
                <w:szCs w:val="20"/>
              </w:rPr>
            </w:pPr>
            <w:r w:rsidRPr="00A668C2">
              <w:rPr>
                <w:sz w:val="20"/>
                <w:szCs w:val="20"/>
              </w:rPr>
              <w:t>298</w:t>
            </w:r>
          </w:p>
        </w:tc>
        <w:tc>
          <w:tcPr>
            <w:tcW w:w="960" w:type="dxa"/>
            <w:tcBorders>
              <w:top w:val="nil"/>
              <w:left w:val="nil"/>
              <w:bottom w:val="nil"/>
              <w:right w:val="nil"/>
            </w:tcBorders>
            <w:shd w:val="clear" w:color="auto" w:fill="auto"/>
            <w:noWrap/>
            <w:vAlign w:val="bottom"/>
            <w:hideMark/>
          </w:tcPr>
          <w:p w14:paraId="140775E3" w14:textId="77777777" w:rsidR="00A668C2" w:rsidRPr="00A668C2" w:rsidRDefault="00A668C2" w:rsidP="00A668C2">
            <w:pPr>
              <w:tabs>
                <w:tab w:val="clear" w:pos="284"/>
              </w:tabs>
              <w:spacing w:after="0" w:line="240" w:lineRule="auto"/>
              <w:jc w:val="right"/>
              <w:rPr>
                <w:sz w:val="20"/>
                <w:szCs w:val="20"/>
              </w:rPr>
            </w:pPr>
            <w:r w:rsidRPr="00A668C2">
              <w:rPr>
                <w:sz w:val="20"/>
                <w:szCs w:val="20"/>
              </w:rPr>
              <w:t>321</w:t>
            </w:r>
          </w:p>
        </w:tc>
        <w:tc>
          <w:tcPr>
            <w:tcW w:w="960" w:type="dxa"/>
            <w:tcBorders>
              <w:top w:val="nil"/>
              <w:left w:val="nil"/>
              <w:bottom w:val="nil"/>
              <w:right w:val="nil"/>
            </w:tcBorders>
            <w:shd w:val="clear" w:color="auto" w:fill="auto"/>
            <w:noWrap/>
            <w:vAlign w:val="bottom"/>
            <w:hideMark/>
          </w:tcPr>
          <w:p w14:paraId="7D42418E" w14:textId="77777777" w:rsidR="00A668C2" w:rsidRPr="00A668C2" w:rsidRDefault="00A668C2" w:rsidP="00A668C2">
            <w:pPr>
              <w:tabs>
                <w:tab w:val="clear" w:pos="284"/>
              </w:tabs>
              <w:spacing w:after="0" w:line="240" w:lineRule="auto"/>
              <w:jc w:val="right"/>
              <w:rPr>
                <w:sz w:val="20"/>
                <w:szCs w:val="20"/>
              </w:rPr>
            </w:pPr>
            <w:r w:rsidRPr="00A668C2">
              <w:rPr>
                <w:sz w:val="20"/>
                <w:szCs w:val="20"/>
              </w:rPr>
              <w:t>334</w:t>
            </w:r>
          </w:p>
        </w:tc>
        <w:tc>
          <w:tcPr>
            <w:tcW w:w="960" w:type="dxa"/>
            <w:tcBorders>
              <w:top w:val="nil"/>
              <w:left w:val="nil"/>
              <w:bottom w:val="nil"/>
              <w:right w:val="nil"/>
            </w:tcBorders>
            <w:shd w:val="clear" w:color="auto" w:fill="auto"/>
            <w:noWrap/>
            <w:vAlign w:val="bottom"/>
            <w:hideMark/>
          </w:tcPr>
          <w:p w14:paraId="71D9D859" w14:textId="77777777" w:rsidR="00A668C2" w:rsidRPr="00A668C2" w:rsidRDefault="00A668C2" w:rsidP="00A668C2">
            <w:pPr>
              <w:tabs>
                <w:tab w:val="clear" w:pos="284"/>
              </w:tabs>
              <w:spacing w:after="0" w:line="240" w:lineRule="auto"/>
              <w:jc w:val="right"/>
              <w:rPr>
                <w:sz w:val="20"/>
                <w:szCs w:val="20"/>
              </w:rPr>
            </w:pPr>
            <w:r w:rsidRPr="00A668C2">
              <w:rPr>
                <w:sz w:val="20"/>
                <w:szCs w:val="20"/>
              </w:rPr>
              <w:t>278</w:t>
            </w:r>
          </w:p>
        </w:tc>
        <w:tc>
          <w:tcPr>
            <w:tcW w:w="960" w:type="dxa"/>
            <w:tcBorders>
              <w:top w:val="nil"/>
              <w:left w:val="nil"/>
              <w:bottom w:val="nil"/>
              <w:right w:val="nil"/>
            </w:tcBorders>
            <w:shd w:val="clear" w:color="auto" w:fill="auto"/>
            <w:noWrap/>
            <w:vAlign w:val="bottom"/>
            <w:hideMark/>
          </w:tcPr>
          <w:p w14:paraId="4D4DC099" w14:textId="77777777" w:rsidR="00A668C2" w:rsidRPr="00A668C2" w:rsidRDefault="00A668C2" w:rsidP="00A668C2">
            <w:pPr>
              <w:tabs>
                <w:tab w:val="clear" w:pos="284"/>
              </w:tabs>
              <w:spacing w:after="0" w:line="240" w:lineRule="auto"/>
              <w:jc w:val="right"/>
              <w:rPr>
                <w:sz w:val="20"/>
                <w:szCs w:val="20"/>
              </w:rPr>
            </w:pPr>
            <w:r w:rsidRPr="00A668C2">
              <w:rPr>
                <w:sz w:val="20"/>
                <w:szCs w:val="20"/>
              </w:rPr>
              <w:t>423</w:t>
            </w:r>
          </w:p>
        </w:tc>
        <w:tc>
          <w:tcPr>
            <w:tcW w:w="960" w:type="dxa"/>
            <w:tcBorders>
              <w:top w:val="nil"/>
              <w:left w:val="nil"/>
              <w:bottom w:val="nil"/>
              <w:right w:val="nil"/>
            </w:tcBorders>
            <w:shd w:val="clear" w:color="auto" w:fill="auto"/>
            <w:noWrap/>
            <w:vAlign w:val="bottom"/>
            <w:hideMark/>
          </w:tcPr>
          <w:p w14:paraId="3AE28792" w14:textId="77777777" w:rsidR="00A668C2" w:rsidRPr="00A668C2" w:rsidRDefault="00A668C2" w:rsidP="00A668C2">
            <w:pPr>
              <w:tabs>
                <w:tab w:val="clear" w:pos="284"/>
              </w:tabs>
              <w:spacing w:after="0" w:line="240" w:lineRule="auto"/>
              <w:jc w:val="right"/>
              <w:rPr>
                <w:sz w:val="20"/>
                <w:szCs w:val="20"/>
              </w:rPr>
            </w:pPr>
            <w:r w:rsidRPr="00A668C2">
              <w:rPr>
                <w:sz w:val="20"/>
                <w:szCs w:val="20"/>
              </w:rPr>
              <w:t>459</w:t>
            </w:r>
          </w:p>
        </w:tc>
      </w:tr>
      <w:tr w:rsidR="00A668C2" w:rsidRPr="00A668C2" w14:paraId="14A1CC99" w14:textId="77777777" w:rsidTr="006667F3">
        <w:trPr>
          <w:trHeight w:val="255"/>
        </w:trPr>
        <w:tc>
          <w:tcPr>
            <w:tcW w:w="1701" w:type="dxa"/>
            <w:tcBorders>
              <w:top w:val="nil"/>
              <w:left w:val="nil"/>
              <w:bottom w:val="nil"/>
              <w:right w:val="nil"/>
            </w:tcBorders>
            <w:shd w:val="clear" w:color="auto" w:fill="auto"/>
            <w:noWrap/>
            <w:vAlign w:val="bottom"/>
            <w:hideMark/>
          </w:tcPr>
          <w:p w14:paraId="51CC7074" w14:textId="77777777" w:rsidR="00A668C2" w:rsidRPr="00A668C2" w:rsidRDefault="00A668C2" w:rsidP="00A668C2">
            <w:pPr>
              <w:tabs>
                <w:tab w:val="clear" w:pos="284"/>
              </w:tabs>
              <w:spacing w:after="0" w:line="240" w:lineRule="auto"/>
              <w:rPr>
                <w:sz w:val="20"/>
                <w:szCs w:val="20"/>
              </w:rPr>
            </w:pPr>
            <w:r w:rsidRPr="00A668C2">
              <w:rPr>
                <w:sz w:val="20"/>
                <w:szCs w:val="20"/>
              </w:rPr>
              <w:t>Australia</w:t>
            </w:r>
          </w:p>
        </w:tc>
        <w:tc>
          <w:tcPr>
            <w:tcW w:w="639" w:type="dxa"/>
            <w:tcBorders>
              <w:top w:val="nil"/>
              <w:left w:val="nil"/>
              <w:bottom w:val="nil"/>
              <w:right w:val="nil"/>
            </w:tcBorders>
            <w:shd w:val="clear" w:color="auto" w:fill="auto"/>
            <w:noWrap/>
            <w:vAlign w:val="bottom"/>
            <w:hideMark/>
          </w:tcPr>
          <w:p w14:paraId="2B02E11E" w14:textId="77777777" w:rsidR="00A668C2" w:rsidRPr="00A668C2" w:rsidRDefault="00A668C2" w:rsidP="00A668C2">
            <w:pPr>
              <w:tabs>
                <w:tab w:val="clear" w:pos="284"/>
              </w:tabs>
              <w:spacing w:after="0" w:line="240" w:lineRule="auto"/>
              <w:jc w:val="right"/>
              <w:rPr>
                <w:sz w:val="20"/>
                <w:szCs w:val="20"/>
              </w:rPr>
            </w:pPr>
            <w:r w:rsidRPr="00A668C2">
              <w:rPr>
                <w:sz w:val="20"/>
                <w:szCs w:val="20"/>
              </w:rPr>
              <w:t>758</w:t>
            </w:r>
          </w:p>
        </w:tc>
        <w:tc>
          <w:tcPr>
            <w:tcW w:w="960" w:type="dxa"/>
            <w:tcBorders>
              <w:top w:val="nil"/>
              <w:left w:val="nil"/>
              <w:bottom w:val="nil"/>
              <w:right w:val="nil"/>
            </w:tcBorders>
            <w:shd w:val="clear" w:color="auto" w:fill="auto"/>
            <w:noWrap/>
            <w:vAlign w:val="bottom"/>
            <w:hideMark/>
          </w:tcPr>
          <w:p w14:paraId="2883009C" w14:textId="77777777" w:rsidR="00A668C2" w:rsidRPr="00A668C2" w:rsidRDefault="00A668C2" w:rsidP="00A668C2">
            <w:pPr>
              <w:tabs>
                <w:tab w:val="clear" w:pos="284"/>
              </w:tabs>
              <w:spacing w:after="0" w:line="240" w:lineRule="auto"/>
              <w:jc w:val="right"/>
              <w:rPr>
                <w:sz w:val="20"/>
                <w:szCs w:val="20"/>
              </w:rPr>
            </w:pPr>
            <w:r w:rsidRPr="00A668C2">
              <w:rPr>
                <w:sz w:val="20"/>
                <w:szCs w:val="20"/>
              </w:rPr>
              <w:t>700</w:t>
            </w:r>
          </w:p>
        </w:tc>
        <w:tc>
          <w:tcPr>
            <w:tcW w:w="960" w:type="dxa"/>
            <w:tcBorders>
              <w:top w:val="nil"/>
              <w:left w:val="nil"/>
              <w:bottom w:val="nil"/>
              <w:right w:val="nil"/>
            </w:tcBorders>
            <w:shd w:val="clear" w:color="auto" w:fill="auto"/>
            <w:noWrap/>
            <w:vAlign w:val="bottom"/>
            <w:hideMark/>
          </w:tcPr>
          <w:p w14:paraId="44BB29CD" w14:textId="77777777" w:rsidR="00A668C2" w:rsidRPr="00A668C2" w:rsidRDefault="00A668C2" w:rsidP="00A668C2">
            <w:pPr>
              <w:tabs>
                <w:tab w:val="clear" w:pos="284"/>
              </w:tabs>
              <w:spacing w:after="0" w:line="240" w:lineRule="auto"/>
              <w:jc w:val="right"/>
              <w:rPr>
                <w:sz w:val="20"/>
                <w:szCs w:val="20"/>
              </w:rPr>
            </w:pPr>
            <w:r w:rsidRPr="00A668C2">
              <w:rPr>
                <w:sz w:val="20"/>
                <w:szCs w:val="20"/>
              </w:rPr>
              <w:t>588</w:t>
            </w:r>
          </w:p>
        </w:tc>
        <w:tc>
          <w:tcPr>
            <w:tcW w:w="960" w:type="dxa"/>
            <w:tcBorders>
              <w:top w:val="nil"/>
              <w:left w:val="nil"/>
              <w:bottom w:val="nil"/>
              <w:right w:val="nil"/>
            </w:tcBorders>
            <w:shd w:val="clear" w:color="auto" w:fill="auto"/>
            <w:noWrap/>
            <w:vAlign w:val="bottom"/>
            <w:hideMark/>
          </w:tcPr>
          <w:p w14:paraId="5B3F821A" w14:textId="77777777" w:rsidR="00A668C2" w:rsidRPr="00A668C2" w:rsidRDefault="00A668C2" w:rsidP="00A668C2">
            <w:pPr>
              <w:tabs>
                <w:tab w:val="clear" w:pos="284"/>
              </w:tabs>
              <w:spacing w:after="0" w:line="240" w:lineRule="auto"/>
              <w:jc w:val="right"/>
              <w:rPr>
                <w:sz w:val="20"/>
                <w:szCs w:val="20"/>
              </w:rPr>
            </w:pPr>
            <w:r w:rsidRPr="00A668C2">
              <w:rPr>
                <w:sz w:val="20"/>
                <w:szCs w:val="20"/>
              </w:rPr>
              <w:t>640</w:t>
            </w:r>
          </w:p>
        </w:tc>
        <w:tc>
          <w:tcPr>
            <w:tcW w:w="960" w:type="dxa"/>
            <w:tcBorders>
              <w:top w:val="nil"/>
              <w:left w:val="nil"/>
              <w:bottom w:val="nil"/>
              <w:right w:val="nil"/>
            </w:tcBorders>
            <w:shd w:val="clear" w:color="auto" w:fill="auto"/>
            <w:noWrap/>
            <w:vAlign w:val="bottom"/>
            <w:hideMark/>
          </w:tcPr>
          <w:p w14:paraId="2E6EF71D" w14:textId="77777777" w:rsidR="00A668C2" w:rsidRPr="00A668C2" w:rsidRDefault="00A668C2" w:rsidP="00A668C2">
            <w:pPr>
              <w:tabs>
                <w:tab w:val="clear" w:pos="284"/>
              </w:tabs>
              <w:spacing w:after="0" w:line="240" w:lineRule="auto"/>
              <w:jc w:val="right"/>
              <w:rPr>
                <w:sz w:val="20"/>
                <w:szCs w:val="20"/>
              </w:rPr>
            </w:pPr>
            <w:r w:rsidRPr="00A668C2">
              <w:rPr>
                <w:sz w:val="20"/>
                <w:szCs w:val="20"/>
              </w:rPr>
              <w:t>630</w:t>
            </w:r>
          </w:p>
        </w:tc>
        <w:tc>
          <w:tcPr>
            <w:tcW w:w="960" w:type="dxa"/>
            <w:tcBorders>
              <w:top w:val="nil"/>
              <w:left w:val="nil"/>
              <w:bottom w:val="nil"/>
              <w:right w:val="nil"/>
            </w:tcBorders>
            <w:shd w:val="clear" w:color="auto" w:fill="auto"/>
            <w:noWrap/>
            <w:vAlign w:val="bottom"/>
            <w:hideMark/>
          </w:tcPr>
          <w:p w14:paraId="720ADAF0" w14:textId="77777777" w:rsidR="00A668C2" w:rsidRPr="00A668C2" w:rsidRDefault="00A668C2" w:rsidP="00A668C2">
            <w:pPr>
              <w:tabs>
                <w:tab w:val="clear" w:pos="284"/>
              </w:tabs>
              <w:spacing w:after="0" w:line="240" w:lineRule="auto"/>
              <w:jc w:val="right"/>
              <w:rPr>
                <w:sz w:val="20"/>
                <w:szCs w:val="20"/>
              </w:rPr>
            </w:pPr>
            <w:r w:rsidRPr="00A668C2">
              <w:rPr>
                <w:sz w:val="20"/>
                <w:szCs w:val="20"/>
              </w:rPr>
              <w:t>432</w:t>
            </w:r>
          </w:p>
        </w:tc>
        <w:tc>
          <w:tcPr>
            <w:tcW w:w="960" w:type="dxa"/>
            <w:tcBorders>
              <w:top w:val="nil"/>
              <w:left w:val="nil"/>
              <w:bottom w:val="nil"/>
              <w:right w:val="nil"/>
            </w:tcBorders>
            <w:shd w:val="clear" w:color="auto" w:fill="auto"/>
            <w:noWrap/>
            <w:vAlign w:val="bottom"/>
            <w:hideMark/>
          </w:tcPr>
          <w:p w14:paraId="257E2D5D" w14:textId="77777777" w:rsidR="00A668C2" w:rsidRPr="00A668C2" w:rsidRDefault="00A668C2" w:rsidP="00A668C2">
            <w:pPr>
              <w:tabs>
                <w:tab w:val="clear" w:pos="284"/>
              </w:tabs>
              <w:spacing w:after="0" w:line="240" w:lineRule="auto"/>
              <w:jc w:val="right"/>
              <w:rPr>
                <w:sz w:val="20"/>
                <w:szCs w:val="20"/>
              </w:rPr>
            </w:pPr>
            <w:r w:rsidRPr="00A668C2">
              <w:rPr>
                <w:sz w:val="20"/>
                <w:szCs w:val="20"/>
              </w:rPr>
              <w:t>319</w:t>
            </w:r>
          </w:p>
        </w:tc>
        <w:tc>
          <w:tcPr>
            <w:tcW w:w="960" w:type="dxa"/>
            <w:tcBorders>
              <w:top w:val="nil"/>
              <w:left w:val="nil"/>
              <w:bottom w:val="nil"/>
              <w:right w:val="nil"/>
            </w:tcBorders>
            <w:shd w:val="clear" w:color="auto" w:fill="auto"/>
            <w:noWrap/>
            <w:vAlign w:val="bottom"/>
            <w:hideMark/>
          </w:tcPr>
          <w:p w14:paraId="749F0C25" w14:textId="77777777" w:rsidR="00A668C2" w:rsidRPr="00A668C2" w:rsidRDefault="00A668C2" w:rsidP="00A668C2">
            <w:pPr>
              <w:tabs>
                <w:tab w:val="clear" w:pos="284"/>
              </w:tabs>
              <w:spacing w:after="0" w:line="240" w:lineRule="auto"/>
              <w:jc w:val="right"/>
              <w:rPr>
                <w:sz w:val="20"/>
                <w:szCs w:val="20"/>
              </w:rPr>
            </w:pPr>
            <w:r w:rsidRPr="00A668C2">
              <w:rPr>
                <w:sz w:val="20"/>
                <w:szCs w:val="20"/>
              </w:rPr>
              <w:t>446</w:t>
            </w:r>
          </w:p>
        </w:tc>
      </w:tr>
      <w:tr w:rsidR="00A668C2" w:rsidRPr="00A668C2" w14:paraId="7F34023E" w14:textId="77777777" w:rsidTr="006667F3">
        <w:trPr>
          <w:trHeight w:val="255"/>
        </w:trPr>
        <w:tc>
          <w:tcPr>
            <w:tcW w:w="1701" w:type="dxa"/>
            <w:tcBorders>
              <w:top w:val="nil"/>
              <w:left w:val="nil"/>
              <w:bottom w:val="nil"/>
              <w:right w:val="nil"/>
            </w:tcBorders>
            <w:shd w:val="clear" w:color="auto" w:fill="auto"/>
            <w:noWrap/>
            <w:vAlign w:val="bottom"/>
            <w:hideMark/>
          </w:tcPr>
          <w:p w14:paraId="1E32C574" w14:textId="77777777" w:rsidR="00A668C2" w:rsidRPr="00A668C2" w:rsidRDefault="00A668C2" w:rsidP="00A668C2">
            <w:pPr>
              <w:tabs>
                <w:tab w:val="clear" w:pos="284"/>
              </w:tabs>
              <w:spacing w:after="0" w:line="240" w:lineRule="auto"/>
              <w:rPr>
                <w:sz w:val="20"/>
                <w:szCs w:val="20"/>
              </w:rPr>
            </w:pPr>
            <w:r w:rsidRPr="00A668C2">
              <w:rPr>
                <w:sz w:val="20"/>
                <w:szCs w:val="20"/>
              </w:rPr>
              <w:t>Korea</w:t>
            </w:r>
          </w:p>
        </w:tc>
        <w:tc>
          <w:tcPr>
            <w:tcW w:w="639" w:type="dxa"/>
            <w:tcBorders>
              <w:top w:val="nil"/>
              <w:left w:val="nil"/>
              <w:bottom w:val="nil"/>
              <w:right w:val="nil"/>
            </w:tcBorders>
            <w:shd w:val="clear" w:color="auto" w:fill="auto"/>
            <w:noWrap/>
            <w:vAlign w:val="bottom"/>
            <w:hideMark/>
          </w:tcPr>
          <w:p w14:paraId="1CCDABA4" w14:textId="77777777" w:rsidR="00A668C2" w:rsidRPr="00A668C2" w:rsidRDefault="00A668C2" w:rsidP="00A668C2">
            <w:pPr>
              <w:tabs>
                <w:tab w:val="clear" w:pos="284"/>
              </w:tabs>
              <w:spacing w:after="0" w:line="240" w:lineRule="auto"/>
              <w:jc w:val="right"/>
              <w:rPr>
                <w:sz w:val="20"/>
                <w:szCs w:val="20"/>
              </w:rPr>
            </w:pPr>
            <w:r w:rsidRPr="00A668C2">
              <w:rPr>
                <w:sz w:val="20"/>
                <w:szCs w:val="20"/>
              </w:rPr>
              <w:t>135</w:t>
            </w:r>
          </w:p>
        </w:tc>
        <w:tc>
          <w:tcPr>
            <w:tcW w:w="960" w:type="dxa"/>
            <w:tcBorders>
              <w:top w:val="nil"/>
              <w:left w:val="nil"/>
              <w:bottom w:val="nil"/>
              <w:right w:val="nil"/>
            </w:tcBorders>
            <w:shd w:val="clear" w:color="auto" w:fill="auto"/>
            <w:noWrap/>
            <w:vAlign w:val="bottom"/>
            <w:hideMark/>
          </w:tcPr>
          <w:p w14:paraId="193E6468" w14:textId="77777777" w:rsidR="00A668C2" w:rsidRPr="00A668C2" w:rsidRDefault="00A668C2" w:rsidP="00A668C2">
            <w:pPr>
              <w:tabs>
                <w:tab w:val="clear" w:pos="284"/>
              </w:tabs>
              <w:spacing w:after="0" w:line="240" w:lineRule="auto"/>
              <w:jc w:val="right"/>
              <w:rPr>
                <w:sz w:val="20"/>
                <w:szCs w:val="20"/>
              </w:rPr>
            </w:pPr>
            <w:r w:rsidRPr="00A668C2">
              <w:rPr>
                <w:sz w:val="20"/>
                <w:szCs w:val="20"/>
              </w:rPr>
              <w:t>202</w:t>
            </w:r>
          </w:p>
        </w:tc>
        <w:tc>
          <w:tcPr>
            <w:tcW w:w="960" w:type="dxa"/>
            <w:tcBorders>
              <w:top w:val="nil"/>
              <w:left w:val="nil"/>
              <w:bottom w:val="nil"/>
              <w:right w:val="nil"/>
            </w:tcBorders>
            <w:shd w:val="clear" w:color="auto" w:fill="auto"/>
            <w:noWrap/>
            <w:vAlign w:val="bottom"/>
            <w:hideMark/>
          </w:tcPr>
          <w:p w14:paraId="099EBB9B" w14:textId="77777777" w:rsidR="00A668C2" w:rsidRPr="00A668C2" w:rsidRDefault="00A668C2" w:rsidP="00A668C2">
            <w:pPr>
              <w:tabs>
                <w:tab w:val="clear" w:pos="284"/>
              </w:tabs>
              <w:spacing w:after="0" w:line="240" w:lineRule="auto"/>
              <w:jc w:val="right"/>
              <w:rPr>
                <w:sz w:val="20"/>
                <w:szCs w:val="20"/>
              </w:rPr>
            </w:pPr>
            <w:r w:rsidRPr="00A668C2">
              <w:rPr>
                <w:sz w:val="20"/>
                <w:szCs w:val="20"/>
              </w:rPr>
              <w:t>252</w:t>
            </w:r>
          </w:p>
        </w:tc>
        <w:tc>
          <w:tcPr>
            <w:tcW w:w="960" w:type="dxa"/>
            <w:tcBorders>
              <w:top w:val="nil"/>
              <w:left w:val="nil"/>
              <w:bottom w:val="nil"/>
              <w:right w:val="nil"/>
            </w:tcBorders>
            <w:shd w:val="clear" w:color="auto" w:fill="auto"/>
            <w:noWrap/>
            <w:vAlign w:val="bottom"/>
            <w:hideMark/>
          </w:tcPr>
          <w:p w14:paraId="298FEA46" w14:textId="77777777" w:rsidR="00A668C2" w:rsidRPr="00A668C2" w:rsidRDefault="00A668C2" w:rsidP="00A668C2">
            <w:pPr>
              <w:tabs>
                <w:tab w:val="clear" w:pos="284"/>
              </w:tabs>
              <w:spacing w:after="0" w:line="240" w:lineRule="auto"/>
              <w:jc w:val="right"/>
              <w:rPr>
                <w:sz w:val="20"/>
                <w:szCs w:val="20"/>
              </w:rPr>
            </w:pPr>
            <w:r w:rsidRPr="00A668C2">
              <w:rPr>
                <w:sz w:val="20"/>
                <w:szCs w:val="20"/>
              </w:rPr>
              <w:t>251</w:t>
            </w:r>
          </w:p>
        </w:tc>
        <w:tc>
          <w:tcPr>
            <w:tcW w:w="960" w:type="dxa"/>
            <w:tcBorders>
              <w:top w:val="nil"/>
              <w:left w:val="nil"/>
              <w:bottom w:val="nil"/>
              <w:right w:val="nil"/>
            </w:tcBorders>
            <w:shd w:val="clear" w:color="auto" w:fill="auto"/>
            <w:noWrap/>
            <w:vAlign w:val="bottom"/>
            <w:hideMark/>
          </w:tcPr>
          <w:p w14:paraId="111B456A" w14:textId="77777777" w:rsidR="00A668C2" w:rsidRPr="00A668C2" w:rsidRDefault="00A668C2" w:rsidP="00A668C2">
            <w:pPr>
              <w:tabs>
                <w:tab w:val="clear" w:pos="284"/>
              </w:tabs>
              <w:spacing w:after="0" w:line="240" w:lineRule="auto"/>
              <w:jc w:val="right"/>
              <w:rPr>
                <w:sz w:val="20"/>
                <w:szCs w:val="20"/>
              </w:rPr>
            </w:pPr>
            <w:r w:rsidRPr="00A668C2">
              <w:rPr>
                <w:sz w:val="20"/>
                <w:szCs w:val="20"/>
              </w:rPr>
              <w:t>245</w:t>
            </w:r>
          </w:p>
        </w:tc>
        <w:tc>
          <w:tcPr>
            <w:tcW w:w="960" w:type="dxa"/>
            <w:tcBorders>
              <w:top w:val="nil"/>
              <w:left w:val="nil"/>
              <w:bottom w:val="nil"/>
              <w:right w:val="nil"/>
            </w:tcBorders>
            <w:shd w:val="clear" w:color="auto" w:fill="auto"/>
            <w:noWrap/>
            <w:vAlign w:val="bottom"/>
            <w:hideMark/>
          </w:tcPr>
          <w:p w14:paraId="5E42C002" w14:textId="77777777" w:rsidR="00A668C2" w:rsidRPr="00A668C2" w:rsidRDefault="00A668C2" w:rsidP="00A668C2">
            <w:pPr>
              <w:tabs>
                <w:tab w:val="clear" w:pos="284"/>
              </w:tabs>
              <w:spacing w:after="0" w:line="240" w:lineRule="auto"/>
              <w:jc w:val="right"/>
              <w:rPr>
                <w:sz w:val="20"/>
                <w:szCs w:val="20"/>
              </w:rPr>
            </w:pPr>
            <w:r w:rsidRPr="00A668C2">
              <w:rPr>
                <w:sz w:val="20"/>
                <w:szCs w:val="20"/>
              </w:rPr>
              <w:t>291</w:t>
            </w:r>
          </w:p>
        </w:tc>
        <w:tc>
          <w:tcPr>
            <w:tcW w:w="960" w:type="dxa"/>
            <w:tcBorders>
              <w:top w:val="nil"/>
              <w:left w:val="nil"/>
              <w:bottom w:val="nil"/>
              <w:right w:val="nil"/>
            </w:tcBorders>
            <w:shd w:val="clear" w:color="auto" w:fill="auto"/>
            <w:noWrap/>
            <w:vAlign w:val="bottom"/>
            <w:hideMark/>
          </w:tcPr>
          <w:p w14:paraId="41CCF806" w14:textId="77777777" w:rsidR="00A668C2" w:rsidRPr="00A668C2" w:rsidRDefault="00A668C2" w:rsidP="00A668C2">
            <w:pPr>
              <w:tabs>
                <w:tab w:val="clear" w:pos="284"/>
              </w:tabs>
              <w:spacing w:after="0" w:line="240" w:lineRule="auto"/>
              <w:jc w:val="right"/>
              <w:rPr>
                <w:sz w:val="20"/>
                <w:szCs w:val="20"/>
              </w:rPr>
            </w:pPr>
            <w:r w:rsidRPr="00A668C2">
              <w:rPr>
                <w:sz w:val="20"/>
                <w:szCs w:val="20"/>
              </w:rPr>
              <w:t>283</w:t>
            </w:r>
          </w:p>
        </w:tc>
        <w:tc>
          <w:tcPr>
            <w:tcW w:w="960" w:type="dxa"/>
            <w:tcBorders>
              <w:top w:val="nil"/>
              <w:left w:val="nil"/>
              <w:bottom w:val="nil"/>
              <w:right w:val="nil"/>
            </w:tcBorders>
            <w:shd w:val="clear" w:color="auto" w:fill="auto"/>
            <w:noWrap/>
            <w:vAlign w:val="bottom"/>
            <w:hideMark/>
          </w:tcPr>
          <w:p w14:paraId="6F53DC36" w14:textId="77777777" w:rsidR="00A668C2" w:rsidRPr="00A668C2" w:rsidRDefault="00A668C2" w:rsidP="00A668C2">
            <w:pPr>
              <w:tabs>
                <w:tab w:val="clear" w:pos="284"/>
              </w:tabs>
              <w:spacing w:after="0" w:line="240" w:lineRule="auto"/>
              <w:jc w:val="right"/>
              <w:rPr>
                <w:sz w:val="20"/>
                <w:szCs w:val="20"/>
              </w:rPr>
            </w:pPr>
            <w:r w:rsidRPr="00A668C2">
              <w:rPr>
                <w:sz w:val="20"/>
                <w:szCs w:val="20"/>
              </w:rPr>
              <w:t>348</w:t>
            </w:r>
          </w:p>
        </w:tc>
      </w:tr>
      <w:tr w:rsidR="00A668C2" w:rsidRPr="00A668C2" w14:paraId="742A4375" w14:textId="77777777" w:rsidTr="006667F3">
        <w:trPr>
          <w:trHeight w:val="255"/>
        </w:trPr>
        <w:tc>
          <w:tcPr>
            <w:tcW w:w="1701" w:type="dxa"/>
            <w:tcBorders>
              <w:top w:val="nil"/>
              <w:left w:val="nil"/>
              <w:bottom w:val="nil"/>
              <w:right w:val="nil"/>
            </w:tcBorders>
            <w:shd w:val="clear" w:color="auto" w:fill="auto"/>
            <w:noWrap/>
            <w:vAlign w:val="bottom"/>
            <w:hideMark/>
          </w:tcPr>
          <w:p w14:paraId="094703D5" w14:textId="77777777" w:rsidR="00A668C2" w:rsidRPr="00A668C2" w:rsidRDefault="00A668C2" w:rsidP="00A668C2">
            <w:pPr>
              <w:tabs>
                <w:tab w:val="clear" w:pos="284"/>
              </w:tabs>
              <w:spacing w:after="0" w:line="240" w:lineRule="auto"/>
              <w:rPr>
                <w:sz w:val="20"/>
                <w:szCs w:val="20"/>
              </w:rPr>
            </w:pPr>
            <w:r w:rsidRPr="00A668C2">
              <w:rPr>
                <w:sz w:val="20"/>
                <w:szCs w:val="20"/>
              </w:rPr>
              <w:t>Belgium</w:t>
            </w:r>
          </w:p>
        </w:tc>
        <w:tc>
          <w:tcPr>
            <w:tcW w:w="639" w:type="dxa"/>
            <w:tcBorders>
              <w:top w:val="nil"/>
              <w:left w:val="nil"/>
              <w:bottom w:val="nil"/>
              <w:right w:val="nil"/>
            </w:tcBorders>
            <w:shd w:val="clear" w:color="auto" w:fill="auto"/>
            <w:noWrap/>
            <w:vAlign w:val="bottom"/>
            <w:hideMark/>
          </w:tcPr>
          <w:p w14:paraId="046AA6DF" w14:textId="77777777" w:rsidR="00A668C2" w:rsidRPr="00A668C2" w:rsidRDefault="00A668C2" w:rsidP="00A668C2">
            <w:pPr>
              <w:tabs>
                <w:tab w:val="clear" w:pos="284"/>
              </w:tabs>
              <w:spacing w:after="0" w:line="240" w:lineRule="auto"/>
              <w:jc w:val="right"/>
              <w:rPr>
                <w:sz w:val="20"/>
                <w:szCs w:val="20"/>
              </w:rPr>
            </w:pPr>
            <w:r w:rsidRPr="00A668C2">
              <w:rPr>
                <w:sz w:val="20"/>
                <w:szCs w:val="20"/>
              </w:rPr>
              <w:t>370</w:t>
            </w:r>
          </w:p>
        </w:tc>
        <w:tc>
          <w:tcPr>
            <w:tcW w:w="960" w:type="dxa"/>
            <w:tcBorders>
              <w:top w:val="nil"/>
              <w:left w:val="nil"/>
              <w:bottom w:val="nil"/>
              <w:right w:val="nil"/>
            </w:tcBorders>
            <w:shd w:val="clear" w:color="auto" w:fill="auto"/>
            <w:noWrap/>
            <w:vAlign w:val="bottom"/>
            <w:hideMark/>
          </w:tcPr>
          <w:p w14:paraId="0A907E19" w14:textId="77777777" w:rsidR="00A668C2" w:rsidRPr="00A668C2" w:rsidRDefault="00A668C2" w:rsidP="00A668C2">
            <w:pPr>
              <w:tabs>
                <w:tab w:val="clear" w:pos="284"/>
              </w:tabs>
              <w:spacing w:after="0" w:line="240" w:lineRule="auto"/>
              <w:jc w:val="right"/>
              <w:rPr>
                <w:sz w:val="20"/>
                <w:szCs w:val="20"/>
              </w:rPr>
            </w:pPr>
            <w:r w:rsidRPr="00A668C2">
              <w:rPr>
                <w:sz w:val="20"/>
                <w:szCs w:val="20"/>
              </w:rPr>
              <w:t>227</w:t>
            </w:r>
          </w:p>
        </w:tc>
        <w:tc>
          <w:tcPr>
            <w:tcW w:w="960" w:type="dxa"/>
            <w:tcBorders>
              <w:top w:val="nil"/>
              <w:left w:val="nil"/>
              <w:bottom w:val="nil"/>
              <w:right w:val="nil"/>
            </w:tcBorders>
            <w:shd w:val="clear" w:color="auto" w:fill="auto"/>
            <w:noWrap/>
            <w:vAlign w:val="bottom"/>
            <w:hideMark/>
          </w:tcPr>
          <w:p w14:paraId="64424AB0" w14:textId="77777777" w:rsidR="00A668C2" w:rsidRPr="00A668C2" w:rsidRDefault="00A668C2" w:rsidP="00A668C2">
            <w:pPr>
              <w:tabs>
                <w:tab w:val="clear" w:pos="284"/>
              </w:tabs>
              <w:spacing w:after="0" w:line="240" w:lineRule="auto"/>
              <w:jc w:val="right"/>
              <w:rPr>
                <w:sz w:val="20"/>
                <w:szCs w:val="20"/>
              </w:rPr>
            </w:pPr>
            <w:r w:rsidRPr="00A668C2">
              <w:rPr>
                <w:sz w:val="20"/>
                <w:szCs w:val="20"/>
              </w:rPr>
              <w:t>290</w:t>
            </w:r>
          </w:p>
        </w:tc>
        <w:tc>
          <w:tcPr>
            <w:tcW w:w="960" w:type="dxa"/>
            <w:tcBorders>
              <w:top w:val="nil"/>
              <w:left w:val="nil"/>
              <w:bottom w:val="nil"/>
              <w:right w:val="nil"/>
            </w:tcBorders>
            <w:shd w:val="clear" w:color="auto" w:fill="auto"/>
            <w:noWrap/>
            <w:vAlign w:val="bottom"/>
            <w:hideMark/>
          </w:tcPr>
          <w:p w14:paraId="5E383853" w14:textId="77777777" w:rsidR="00A668C2" w:rsidRPr="00A668C2" w:rsidRDefault="00A668C2" w:rsidP="00A668C2">
            <w:pPr>
              <w:tabs>
                <w:tab w:val="clear" w:pos="284"/>
              </w:tabs>
              <w:spacing w:after="0" w:line="240" w:lineRule="auto"/>
              <w:jc w:val="right"/>
              <w:rPr>
                <w:sz w:val="20"/>
                <w:szCs w:val="20"/>
              </w:rPr>
            </w:pPr>
            <w:r w:rsidRPr="00A668C2">
              <w:rPr>
                <w:sz w:val="20"/>
                <w:szCs w:val="20"/>
              </w:rPr>
              <w:t>350</w:t>
            </w:r>
          </w:p>
        </w:tc>
        <w:tc>
          <w:tcPr>
            <w:tcW w:w="960" w:type="dxa"/>
            <w:tcBorders>
              <w:top w:val="nil"/>
              <w:left w:val="nil"/>
              <w:bottom w:val="nil"/>
              <w:right w:val="nil"/>
            </w:tcBorders>
            <w:shd w:val="clear" w:color="auto" w:fill="auto"/>
            <w:noWrap/>
            <w:vAlign w:val="bottom"/>
            <w:hideMark/>
          </w:tcPr>
          <w:p w14:paraId="2DD5A1B1" w14:textId="77777777" w:rsidR="00A668C2" w:rsidRPr="00A668C2" w:rsidRDefault="00A668C2" w:rsidP="00A668C2">
            <w:pPr>
              <w:tabs>
                <w:tab w:val="clear" w:pos="284"/>
              </w:tabs>
              <w:spacing w:after="0" w:line="240" w:lineRule="auto"/>
              <w:jc w:val="right"/>
              <w:rPr>
                <w:sz w:val="20"/>
                <w:szCs w:val="20"/>
              </w:rPr>
            </w:pPr>
            <w:r w:rsidRPr="00A668C2">
              <w:rPr>
                <w:sz w:val="20"/>
                <w:szCs w:val="20"/>
              </w:rPr>
              <w:t>250</w:t>
            </w:r>
          </w:p>
        </w:tc>
        <w:tc>
          <w:tcPr>
            <w:tcW w:w="960" w:type="dxa"/>
            <w:tcBorders>
              <w:top w:val="nil"/>
              <w:left w:val="nil"/>
              <w:bottom w:val="nil"/>
              <w:right w:val="nil"/>
            </w:tcBorders>
            <w:shd w:val="clear" w:color="auto" w:fill="auto"/>
            <w:noWrap/>
            <w:vAlign w:val="bottom"/>
            <w:hideMark/>
          </w:tcPr>
          <w:p w14:paraId="77A8DF76" w14:textId="77777777" w:rsidR="00A668C2" w:rsidRPr="00A668C2" w:rsidRDefault="00A668C2" w:rsidP="00A668C2">
            <w:pPr>
              <w:tabs>
                <w:tab w:val="clear" w:pos="284"/>
              </w:tabs>
              <w:spacing w:after="0" w:line="240" w:lineRule="auto"/>
              <w:jc w:val="right"/>
              <w:rPr>
                <w:sz w:val="20"/>
                <w:szCs w:val="20"/>
              </w:rPr>
            </w:pPr>
            <w:r w:rsidRPr="00A668C2">
              <w:rPr>
                <w:sz w:val="20"/>
                <w:szCs w:val="20"/>
              </w:rPr>
              <w:t>286</w:t>
            </w:r>
          </w:p>
        </w:tc>
        <w:tc>
          <w:tcPr>
            <w:tcW w:w="960" w:type="dxa"/>
            <w:tcBorders>
              <w:top w:val="nil"/>
              <w:left w:val="nil"/>
              <w:bottom w:val="nil"/>
              <w:right w:val="nil"/>
            </w:tcBorders>
            <w:shd w:val="clear" w:color="auto" w:fill="auto"/>
            <w:noWrap/>
            <w:vAlign w:val="bottom"/>
            <w:hideMark/>
          </w:tcPr>
          <w:p w14:paraId="24919BBE" w14:textId="77777777" w:rsidR="00A668C2" w:rsidRPr="00A668C2" w:rsidRDefault="00A668C2" w:rsidP="00A668C2">
            <w:pPr>
              <w:tabs>
                <w:tab w:val="clear" w:pos="284"/>
              </w:tabs>
              <w:spacing w:after="0" w:line="240" w:lineRule="auto"/>
              <w:jc w:val="right"/>
              <w:rPr>
                <w:sz w:val="20"/>
                <w:szCs w:val="20"/>
              </w:rPr>
            </w:pPr>
            <w:r w:rsidRPr="00A668C2">
              <w:rPr>
                <w:sz w:val="20"/>
                <w:szCs w:val="20"/>
              </w:rPr>
              <w:t>267</w:t>
            </w:r>
          </w:p>
        </w:tc>
        <w:tc>
          <w:tcPr>
            <w:tcW w:w="960" w:type="dxa"/>
            <w:tcBorders>
              <w:top w:val="nil"/>
              <w:left w:val="nil"/>
              <w:bottom w:val="nil"/>
              <w:right w:val="nil"/>
            </w:tcBorders>
            <w:shd w:val="clear" w:color="auto" w:fill="auto"/>
            <w:noWrap/>
            <w:vAlign w:val="bottom"/>
            <w:hideMark/>
          </w:tcPr>
          <w:p w14:paraId="011094D4" w14:textId="77777777" w:rsidR="00A668C2" w:rsidRPr="00A668C2" w:rsidRDefault="00A668C2" w:rsidP="00A668C2">
            <w:pPr>
              <w:tabs>
                <w:tab w:val="clear" w:pos="284"/>
              </w:tabs>
              <w:spacing w:after="0" w:line="240" w:lineRule="auto"/>
              <w:jc w:val="right"/>
              <w:rPr>
                <w:sz w:val="20"/>
                <w:szCs w:val="20"/>
              </w:rPr>
            </w:pPr>
            <w:r w:rsidRPr="00A668C2">
              <w:rPr>
                <w:sz w:val="20"/>
                <w:szCs w:val="20"/>
              </w:rPr>
              <w:t>290</w:t>
            </w:r>
          </w:p>
        </w:tc>
      </w:tr>
      <w:tr w:rsidR="00A668C2" w:rsidRPr="00A668C2" w14:paraId="141B0CA0" w14:textId="77777777" w:rsidTr="006667F3">
        <w:trPr>
          <w:trHeight w:val="255"/>
        </w:trPr>
        <w:tc>
          <w:tcPr>
            <w:tcW w:w="1701" w:type="dxa"/>
            <w:tcBorders>
              <w:top w:val="nil"/>
              <w:left w:val="nil"/>
              <w:bottom w:val="nil"/>
              <w:right w:val="nil"/>
            </w:tcBorders>
            <w:shd w:val="clear" w:color="auto" w:fill="auto"/>
            <w:noWrap/>
            <w:vAlign w:val="bottom"/>
            <w:hideMark/>
          </w:tcPr>
          <w:p w14:paraId="146AD36C" w14:textId="77777777" w:rsidR="00A668C2" w:rsidRPr="00A668C2" w:rsidRDefault="00A668C2" w:rsidP="00A668C2">
            <w:pPr>
              <w:tabs>
                <w:tab w:val="clear" w:pos="284"/>
              </w:tabs>
              <w:spacing w:after="0" w:line="240" w:lineRule="auto"/>
              <w:rPr>
                <w:sz w:val="20"/>
                <w:szCs w:val="20"/>
              </w:rPr>
            </w:pPr>
            <w:r w:rsidRPr="00A668C2">
              <w:rPr>
                <w:sz w:val="20"/>
                <w:szCs w:val="20"/>
              </w:rPr>
              <w:t>Ireland</w:t>
            </w:r>
          </w:p>
        </w:tc>
        <w:tc>
          <w:tcPr>
            <w:tcW w:w="639" w:type="dxa"/>
            <w:tcBorders>
              <w:top w:val="nil"/>
              <w:left w:val="nil"/>
              <w:bottom w:val="nil"/>
              <w:right w:val="nil"/>
            </w:tcBorders>
            <w:shd w:val="clear" w:color="auto" w:fill="auto"/>
            <w:noWrap/>
            <w:vAlign w:val="bottom"/>
            <w:hideMark/>
          </w:tcPr>
          <w:p w14:paraId="613D953F" w14:textId="77777777" w:rsidR="00A668C2" w:rsidRPr="00A668C2" w:rsidRDefault="00A668C2" w:rsidP="00A668C2">
            <w:pPr>
              <w:tabs>
                <w:tab w:val="clear" w:pos="284"/>
              </w:tabs>
              <w:spacing w:after="0" w:line="240" w:lineRule="auto"/>
              <w:jc w:val="right"/>
              <w:rPr>
                <w:sz w:val="20"/>
                <w:szCs w:val="20"/>
              </w:rPr>
            </w:pPr>
            <w:r w:rsidRPr="00A668C2">
              <w:rPr>
                <w:sz w:val="20"/>
                <w:szCs w:val="20"/>
              </w:rPr>
              <w:t>170</w:t>
            </w:r>
          </w:p>
        </w:tc>
        <w:tc>
          <w:tcPr>
            <w:tcW w:w="960" w:type="dxa"/>
            <w:tcBorders>
              <w:top w:val="nil"/>
              <w:left w:val="nil"/>
              <w:bottom w:val="nil"/>
              <w:right w:val="nil"/>
            </w:tcBorders>
            <w:shd w:val="clear" w:color="auto" w:fill="auto"/>
            <w:noWrap/>
            <w:vAlign w:val="bottom"/>
            <w:hideMark/>
          </w:tcPr>
          <w:p w14:paraId="129388E0" w14:textId="77777777" w:rsidR="00A668C2" w:rsidRPr="00A668C2" w:rsidRDefault="00A668C2" w:rsidP="00A668C2">
            <w:pPr>
              <w:tabs>
                <w:tab w:val="clear" w:pos="284"/>
              </w:tabs>
              <w:spacing w:after="0" w:line="240" w:lineRule="auto"/>
              <w:jc w:val="right"/>
              <w:rPr>
                <w:sz w:val="20"/>
                <w:szCs w:val="20"/>
              </w:rPr>
            </w:pPr>
            <w:r w:rsidRPr="00A668C2">
              <w:rPr>
                <w:sz w:val="20"/>
                <w:szCs w:val="20"/>
              </w:rPr>
              <w:t>180</w:t>
            </w:r>
          </w:p>
        </w:tc>
        <w:tc>
          <w:tcPr>
            <w:tcW w:w="960" w:type="dxa"/>
            <w:tcBorders>
              <w:top w:val="nil"/>
              <w:left w:val="nil"/>
              <w:bottom w:val="nil"/>
              <w:right w:val="nil"/>
            </w:tcBorders>
            <w:shd w:val="clear" w:color="auto" w:fill="auto"/>
            <w:noWrap/>
            <w:vAlign w:val="bottom"/>
            <w:hideMark/>
          </w:tcPr>
          <w:p w14:paraId="40F6BDEF" w14:textId="77777777" w:rsidR="00A668C2" w:rsidRPr="00A668C2" w:rsidRDefault="00A668C2" w:rsidP="00A668C2">
            <w:pPr>
              <w:tabs>
                <w:tab w:val="clear" w:pos="284"/>
              </w:tabs>
              <w:spacing w:after="0" w:line="240" w:lineRule="auto"/>
              <w:jc w:val="right"/>
              <w:rPr>
                <w:sz w:val="20"/>
                <w:szCs w:val="20"/>
              </w:rPr>
            </w:pPr>
            <w:r w:rsidRPr="00A668C2">
              <w:rPr>
                <w:sz w:val="20"/>
                <w:szCs w:val="20"/>
              </w:rPr>
              <w:t>175</w:t>
            </w:r>
          </w:p>
        </w:tc>
        <w:tc>
          <w:tcPr>
            <w:tcW w:w="960" w:type="dxa"/>
            <w:tcBorders>
              <w:top w:val="nil"/>
              <w:left w:val="nil"/>
              <w:bottom w:val="nil"/>
              <w:right w:val="nil"/>
            </w:tcBorders>
            <w:shd w:val="clear" w:color="auto" w:fill="auto"/>
            <w:noWrap/>
            <w:vAlign w:val="bottom"/>
            <w:hideMark/>
          </w:tcPr>
          <w:p w14:paraId="54E15B61" w14:textId="77777777" w:rsidR="00A668C2" w:rsidRPr="00A668C2" w:rsidRDefault="00A668C2" w:rsidP="00A668C2">
            <w:pPr>
              <w:tabs>
                <w:tab w:val="clear" w:pos="284"/>
              </w:tabs>
              <w:spacing w:after="0" w:line="240" w:lineRule="auto"/>
              <w:jc w:val="right"/>
              <w:rPr>
                <w:sz w:val="20"/>
                <w:szCs w:val="20"/>
              </w:rPr>
            </w:pPr>
            <w:r w:rsidRPr="00A668C2">
              <w:rPr>
                <w:sz w:val="20"/>
                <w:szCs w:val="20"/>
              </w:rPr>
              <w:t>168</w:t>
            </w:r>
          </w:p>
        </w:tc>
        <w:tc>
          <w:tcPr>
            <w:tcW w:w="960" w:type="dxa"/>
            <w:tcBorders>
              <w:top w:val="nil"/>
              <w:left w:val="nil"/>
              <w:bottom w:val="nil"/>
              <w:right w:val="nil"/>
            </w:tcBorders>
            <w:shd w:val="clear" w:color="auto" w:fill="auto"/>
            <w:noWrap/>
            <w:vAlign w:val="bottom"/>
            <w:hideMark/>
          </w:tcPr>
          <w:p w14:paraId="647B851B" w14:textId="77777777" w:rsidR="00A668C2" w:rsidRPr="00A668C2" w:rsidRDefault="00A668C2" w:rsidP="00A668C2">
            <w:pPr>
              <w:tabs>
                <w:tab w:val="clear" w:pos="284"/>
              </w:tabs>
              <w:spacing w:after="0" w:line="240" w:lineRule="auto"/>
              <w:jc w:val="right"/>
              <w:rPr>
                <w:sz w:val="20"/>
                <w:szCs w:val="20"/>
              </w:rPr>
            </w:pPr>
            <w:r w:rsidRPr="00A668C2">
              <w:rPr>
                <w:sz w:val="20"/>
                <w:szCs w:val="20"/>
              </w:rPr>
              <w:t>153</w:t>
            </w:r>
          </w:p>
        </w:tc>
        <w:tc>
          <w:tcPr>
            <w:tcW w:w="960" w:type="dxa"/>
            <w:tcBorders>
              <w:top w:val="nil"/>
              <w:left w:val="nil"/>
              <w:bottom w:val="nil"/>
              <w:right w:val="nil"/>
            </w:tcBorders>
            <w:shd w:val="clear" w:color="auto" w:fill="auto"/>
            <w:noWrap/>
            <w:vAlign w:val="bottom"/>
            <w:hideMark/>
          </w:tcPr>
          <w:p w14:paraId="71AE5A16" w14:textId="77777777" w:rsidR="00A668C2" w:rsidRPr="00A668C2" w:rsidRDefault="00A668C2" w:rsidP="00A668C2">
            <w:pPr>
              <w:tabs>
                <w:tab w:val="clear" w:pos="284"/>
              </w:tabs>
              <w:spacing w:after="0" w:line="240" w:lineRule="auto"/>
              <w:jc w:val="right"/>
              <w:rPr>
                <w:sz w:val="20"/>
                <w:szCs w:val="20"/>
              </w:rPr>
            </w:pPr>
            <w:r w:rsidRPr="00A668C2">
              <w:rPr>
                <w:sz w:val="20"/>
                <w:szCs w:val="20"/>
              </w:rPr>
              <w:t>208</w:t>
            </w:r>
          </w:p>
        </w:tc>
        <w:tc>
          <w:tcPr>
            <w:tcW w:w="960" w:type="dxa"/>
            <w:tcBorders>
              <w:top w:val="nil"/>
              <w:left w:val="nil"/>
              <w:bottom w:val="nil"/>
              <w:right w:val="nil"/>
            </w:tcBorders>
            <w:shd w:val="clear" w:color="auto" w:fill="auto"/>
            <w:noWrap/>
            <w:vAlign w:val="bottom"/>
            <w:hideMark/>
          </w:tcPr>
          <w:p w14:paraId="48C2F2CE" w14:textId="77777777" w:rsidR="00A668C2" w:rsidRPr="00A668C2" w:rsidRDefault="00A668C2" w:rsidP="00A668C2">
            <w:pPr>
              <w:tabs>
                <w:tab w:val="clear" w:pos="284"/>
              </w:tabs>
              <w:spacing w:after="0" w:line="240" w:lineRule="auto"/>
              <w:jc w:val="right"/>
              <w:rPr>
                <w:sz w:val="20"/>
                <w:szCs w:val="20"/>
              </w:rPr>
            </w:pPr>
            <w:r w:rsidRPr="00A668C2">
              <w:rPr>
                <w:sz w:val="20"/>
                <w:szCs w:val="20"/>
              </w:rPr>
              <w:t>176</w:t>
            </w:r>
          </w:p>
        </w:tc>
        <w:tc>
          <w:tcPr>
            <w:tcW w:w="960" w:type="dxa"/>
            <w:tcBorders>
              <w:top w:val="nil"/>
              <w:left w:val="nil"/>
              <w:bottom w:val="nil"/>
              <w:right w:val="nil"/>
            </w:tcBorders>
            <w:shd w:val="clear" w:color="auto" w:fill="auto"/>
            <w:noWrap/>
            <w:vAlign w:val="bottom"/>
            <w:hideMark/>
          </w:tcPr>
          <w:p w14:paraId="79E9A991" w14:textId="77777777" w:rsidR="00A668C2" w:rsidRPr="00A668C2" w:rsidRDefault="00A668C2" w:rsidP="00A668C2">
            <w:pPr>
              <w:tabs>
                <w:tab w:val="clear" w:pos="284"/>
              </w:tabs>
              <w:spacing w:after="0" w:line="240" w:lineRule="auto"/>
              <w:jc w:val="right"/>
              <w:rPr>
                <w:sz w:val="20"/>
                <w:szCs w:val="20"/>
              </w:rPr>
            </w:pPr>
            <w:r w:rsidRPr="00A668C2">
              <w:rPr>
                <w:sz w:val="20"/>
                <w:szCs w:val="20"/>
              </w:rPr>
              <w:t>212</w:t>
            </w:r>
          </w:p>
        </w:tc>
      </w:tr>
      <w:tr w:rsidR="00A668C2" w:rsidRPr="00A668C2" w14:paraId="22E894F5" w14:textId="77777777" w:rsidTr="006667F3">
        <w:trPr>
          <w:trHeight w:val="255"/>
        </w:trPr>
        <w:tc>
          <w:tcPr>
            <w:tcW w:w="1701" w:type="dxa"/>
            <w:tcBorders>
              <w:top w:val="nil"/>
              <w:left w:val="nil"/>
              <w:bottom w:val="nil"/>
              <w:right w:val="nil"/>
            </w:tcBorders>
            <w:shd w:val="clear" w:color="auto" w:fill="auto"/>
            <w:noWrap/>
            <w:vAlign w:val="bottom"/>
            <w:hideMark/>
          </w:tcPr>
          <w:p w14:paraId="6CC00DCB" w14:textId="77777777" w:rsidR="00A668C2" w:rsidRPr="00A668C2" w:rsidRDefault="00A668C2" w:rsidP="00A668C2">
            <w:pPr>
              <w:tabs>
                <w:tab w:val="clear" w:pos="284"/>
              </w:tabs>
              <w:spacing w:after="0" w:line="240" w:lineRule="auto"/>
              <w:rPr>
                <w:sz w:val="20"/>
                <w:szCs w:val="20"/>
              </w:rPr>
            </w:pPr>
            <w:r w:rsidRPr="00A668C2">
              <w:rPr>
                <w:sz w:val="20"/>
                <w:szCs w:val="20"/>
              </w:rPr>
              <w:t>Finland</w:t>
            </w:r>
          </w:p>
        </w:tc>
        <w:tc>
          <w:tcPr>
            <w:tcW w:w="639" w:type="dxa"/>
            <w:tcBorders>
              <w:top w:val="nil"/>
              <w:left w:val="nil"/>
              <w:bottom w:val="nil"/>
              <w:right w:val="nil"/>
            </w:tcBorders>
            <w:shd w:val="clear" w:color="auto" w:fill="auto"/>
            <w:noWrap/>
            <w:vAlign w:val="bottom"/>
            <w:hideMark/>
          </w:tcPr>
          <w:p w14:paraId="1EDE2361" w14:textId="77777777" w:rsidR="00A668C2" w:rsidRPr="00A668C2" w:rsidRDefault="00A668C2" w:rsidP="00A668C2">
            <w:pPr>
              <w:tabs>
                <w:tab w:val="clear" w:pos="284"/>
              </w:tabs>
              <w:spacing w:after="0" w:line="240" w:lineRule="auto"/>
              <w:jc w:val="right"/>
              <w:rPr>
                <w:sz w:val="20"/>
                <w:szCs w:val="20"/>
              </w:rPr>
            </w:pPr>
            <w:r w:rsidRPr="00A668C2">
              <w:rPr>
                <w:sz w:val="20"/>
                <w:szCs w:val="20"/>
              </w:rPr>
              <w:t>325</w:t>
            </w:r>
          </w:p>
        </w:tc>
        <w:tc>
          <w:tcPr>
            <w:tcW w:w="960" w:type="dxa"/>
            <w:tcBorders>
              <w:top w:val="nil"/>
              <w:left w:val="nil"/>
              <w:bottom w:val="nil"/>
              <w:right w:val="nil"/>
            </w:tcBorders>
            <w:shd w:val="clear" w:color="auto" w:fill="auto"/>
            <w:noWrap/>
            <w:vAlign w:val="bottom"/>
            <w:hideMark/>
          </w:tcPr>
          <w:p w14:paraId="4AFFF2D1" w14:textId="77777777" w:rsidR="00A668C2" w:rsidRPr="00A668C2" w:rsidRDefault="00A668C2" w:rsidP="00A668C2">
            <w:pPr>
              <w:tabs>
                <w:tab w:val="clear" w:pos="284"/>
              </w:tabs>
              <w:spacing w:after="0" w:line="240" w:lineRule="auto"/>
              <w:jc w:val="right"/>
              <w:rPr>
                <w:sz w:val="20"/>
                <w:szCs w:val="20"/>
              </w:rPr>
            </w:pPr>
            <w:r w:rsidRPr="00A668C2">
              <w:rPr>
                <w:sz w:val="20"/>
                <w:szCs w:val="20"/>
              </w:rPr>
              <w:t>309</w:t>
            </w:r>
          </w:p>
        </w:tc>
        <w:tc>
          <w:tcPr>
            <w:tcW w:w="960" w:type="dxa"/>
            <w:tcBorders>
              <w:top w:val="nil"/>
              <w:left w:val="nil"/>
              <w:bottom w:val="nil"/>
              <w:right w:val="nil"/>
            </w:tcBorders>
            <w:shd w:val="clear" w:color="auto" w:fill="auto"/>
            <w:noWrap/>
            <w:vAlign w:val="bottom"/>
            <w:hideMark/>
          </w:tcPr>
          <w:p w14:paraId="581306B4" w14:textId="77777777" w:rsidR="00A668C2" w:rsidRPr="00A668C2" w:rsidRDefault="00A668C2" w:rsidP="00A668C2">
            <w:pPr>
              <w:tabs>
                <w:tab w:val="clear" w:pos="284"/>
              </w:tabs>
              <w:spacing w:after="0" w:line="240" w:lineRule="auto"/>
              <w:jc w:val="right"/>
              <w:rPr>
                <w:sz w:val="20"/>
                <w:szCs w:val="20"/>
              </w:rPr>
            </w:pPr>
            <w:r w:rsidRPr="00A668C2">
              <w:rPr>
                <w:sz w:val="20"/>
                <w:szCs w:val="20"/>
              </w:rPr>
              <w:t>368</w:t>
            </w:r>
          </w:p>
        </w:tc>
        <w:tc>
          <w:tcPr>
            <w:tcW w:w="960" w:type="dxa"/>
            <w:tcBorders>
              <w:top w:val="nil"/>
              <w:left w:val="nil"/>
              <w:bottom w:val="nil"/>
              <w:right w:val="nil"/>
            </w:tcBorders>
            <w:shd w:val="clear" w:color="auto" w:fill="auto"/>
            <w:noWrap/>
            <w:vAlign w:val="bottom"/>
            <w:hideMark/>
          </w:tcPr>
          <w:p w14:paraId="6CF50BDE" w14:textId="77777777" w:rsidR="00A668C2" w:rsidRPr="00A668C2" w:rsidRDefault="00A668C2" w:rsidP="00A668C2">
            <w:pPr>
              <w:tabs>
                <w:tab w:val="clear" w:pos="284"/>
              </w:tabs>
              <w:spacing w:after="0" w:line="240" w:lineRule="auto"/>
              <w:jc w:val="right"/>
              <w:rPr>
                <w:sz w:val="20"/>
                <w:szCs w:val="20"/>
              </w:rPr>
            </w:pPr>
            <w:r w:rsidRPr="00A668C2">
              <w:rPr>
                <w:sz w:val="20"/>
                <w:szCs w:val="20"/>
              </w:rPr>
              <w:t>442</w:t>
            </w:r>
          </w:p>
        </w:tc>
        <w:tc>
          <w:tcPr>
            <w:tcW w:w="960" w:type="dxa"/>
            <w:tcBorders>
              <w:top w:val="nil"/>
              <w:left w:val="nil"/>
              <w:bottom w:val="nil"/>
              <w:right w:val="nil"/>
            </w:tcBorders>
            <w:shd w:val="clear" w:color="auto" w:fill="auto"/>
            <w:noWrap/>
            <w:vAlign w:val="bottom"/>
            <w:hideMark/>
          </w:tcPr>
          <w:p w14:paraId="0FD533BF" w14:textId="77777777" w:rsidR="00A668C2" w:rsidRPr="00A668C2" w:rsidRDefault="00A668C2" w:rsidP="00A668C2">
            <w:pPr>
              <w:tabs>
                <w:tab w:val="clear" w:pos="284"/>
              </w:tabs>
              <w:spacing w:after="0" w:line="240" w:lineRule="auto"/>
              <w:jc w:val="right"/>
              <w:rPr>
                <w:sz w:val="20"/>
                <w:szCs w:val="20"/>
              </w:rPr>
            </w:pPr>
            <w:r w:rsidRPr="00A668C2">
              <w:rPr>
                <w:sz w:val="20"/>
                <w:szCs w:val="20"/>
              </w:rPr>
              <w:t>305</w:t>
            </w:r>
          </w:p>
        </w:tc>
        <w:tc>
          <w:tcPr>
            <w:tcW w:w="960" w:type="dxa"/>
            <w:tcBorders>
              <w:top w:val="nil"/>
              <w:left w:val="nil"/>
              <w:bottom w:val="nil"/>
              <w:right w:val="nil"/>
            </w:tcBorders>
            <w:shd w:val="clear" w:color="auto" w:fill="auto"/>
            <w:noWrap/>
            <w:vAlign w:val="bottom"/>
            <w:hideMark/>
          </w:tcPr>
          <w:p w14:paraId="012ECFAD" w14:textId="77777777" w:rsidR="00A668C2" w:rsidRPr="00A668C2" w:rsidRDefault="00A668C2" w:rsidP="00A668C2">
            <w:pPr>
              <w:tabs>
                <w:tab w:val="clear" w:pos="284"/>
              </w:tabs>
              <w:spacing w:after="0" w:line="240" w:lineRule="auto"/>
              <w:jc w:val="right"/>
              <w:rPr>
                <w:sz w:val="20"/>
                <w:szCs w:val="20"/>
              </w:rPr>
            </w:pPr>
            <w:r w:rsidRPr="00A668C2">
              <w:rPr>
                <w:sz w:val="20"/>
                <w:szCs w:val="20"/>
              </w:rPr>
              <w:t>224</w:t>
            </w:r>
          </w:p>
        </w:tc>
        <w:tc>
          <w:tcPr>
            <w:tcW w:w="960" w:type="dxa"/>
            <w:tcBorders>
              <w:top w:val="nil"/>
              <w:left w:val="nil"/>
              <w:bottom w:val="nil"/>
              <w:right w:val="nil"/>
            </w:tcBorders>
            <w:shd w:val="clear" w:color="auto" w:fill="auto"/>
            <w:noWrap/>
            <w:vAlign w:val="bottom"/>
            <w:hideMark/>
          </w:tcPr>
          <w:p w14:paraId="7BE1D68B" w14:textId="77777777" w:rsidR="00A668C2" w:rsidRPr="00A668C2" w:rsidRDefault="00A668C2" w:rsidP="00A668C2">
            <w:pPr>
              <w:tabs>
                <w:tab w:val="clear" w:pos="284"/>
              </w:tabs>
              <w:spacing w:after="0" w:line="240" w:lineRule="auto"/>
              <w:jc w:val="right"/>
              <w:rPr>
                <w:sz w:val="20"/>
                <w:szCs w:val="20"/>
              </w:rPr>
            </w:pPr>
            <w:r w:rsidRPr="00A668C2">
              <w:rPr>
                <w:sz w:val="20"/>
                <w:szCs w:val="20"/>
              </w:rPr>
              <w:t>178</w:t>
            </w:r>
          </w:p>
        </w:tc>
        <w:tc>
          <w:tcPr>
            <w:tcW w:w="960" w:type="dxa"/>
            <w:tcBorders>
              <w:top w:val="nil"/>
              <w:left w:val="nil"/>
              <w:bottom w:val="nil"/>
              <w:right w:val="nil"/>
            </w:tcBorders>
            <w:shd w:val="clear" w:color="auto" w:fill="auto"/>
            <w:noWrap/>
            <w:vAlign w:val="bottom"/>
            <w:hideMark/>
          </w:tcPr>
          <w:p w14:paraId="21F08344" w14:textId="77777777" w:rsidR="00A668C2" w:rsidRPr="00A668C2" w:rsidRDefault="00A668C2" w:rsidP="00A668C2">
            <w:pPr>
              <w:tabs>
                <w:tab w:val="clear" w:pos="284"/>
              </w:tabs>
              <w:spacing w:after="0" w:line="240" w:lineRule="auto"/>
              <w:jc w:val="right"/>
              <w:rPr>
                <w:sz w:val="20"/>
                <w:szCs w:val="20"/>
              </w:rPr>
            </w:pPr>
            <w:r w:rsidRPr="00A668C2">
              <w:rPr>
                <w:sz w:val="20"/>
                <w:szCs w:val="20"/>
              </w:rPr>
              <w:t>183</w:t>
            </w:r>
          </w:p>
        </w:tc>
      </w:tr>
      <w:tr w:rsidR="00A668C2" w:rsidRPr="00A668C2" w14:paraId="0D3A14D2" w14:textId="77777777" w:rsidTr="006667F3">
        <w:trPr>
          <w:trHeight w:val="255"/>
        </w:trPr>
        <w:tc>
          <w:tcPr>
            <w:tcW w:w="1701" w:type="dxa"/>
            <w:tcBorders>
              <w:top w:val="nil"/>
              <w:left w:val="nil"/>
              <w:bottom w:val="nil"/>
              <w:right w:val="nil"/>
            </w:tcBorders>
            <w:shd w:val="clear" w:color="auto" w:fill="auto"/>
            <w:noWrap/>
            <w:vAlign w:val="bottom"/>
            <w:hideMark/>
          </w:tcPr>
          <w:p w14:paraId="4FA738E5" w14:textId="77777777" w:rsidR="00A668C2" w:rsidRPr="00A668C2" w:rsidRDefault="00A668C2" w:rsidP="00A668C2">
            <w:pPr>
              <w:tabs>
                <w:tab w:val="clear" w:pos="284"/>
              </w:tabs>
              <w:spacing w:after="0" w:line="240" w:lineRule="auto"/>
              <w:rPr>
                <w:sz w:val="20"/>
                <w:szCs w:val="20"/>
              </w:rPr>
            </w:pPr>
            <w:r w:rsidRPr="00A668C2">
              <w:rPr>
                <w:sz w:val="20"/>
                <w:szCs w:val="20"/>
              </w:rPr>
              <w:t>Spain</w:t>
            </w:r>
          </w:p>
        </w:tc>
        <w:tc>
          <w:tcPr>
            <w:tcW w:w="639" w:type="dxa"/>
            <w:tcBorders>
              <w:top w:val="nil"/>
              <w:left w:val="nil"/>
              <w:bottom w:val="nil"/>
              <w:right w:val="nil"/>
            </w:tcBorders>
            <w:shd w:val="clear" w:color="auto" w:fill="auto"/>
            <w:noWrap/>
            <w:vAlign w:val="bottom"/>
            <w:hideMark/>
          </w:tcPr>
          <w:p w14:paraId="5D3E8461" w14:textId="77777777" w:rsidR="00A668C2" w:rsidRPr="00A668C2" w:rsidRDefault="00A668C2" w:rsidP="00A668C2">
            <w:pPr>
              <w:tabs>
                <w:tab w:val="clear" w:pos="284"/>
              </w:tabs>
              <w:spacing w:after="0" w:line="240" w:lineRule="auto"/>
              <w:jc w:val="right"/>
              <w:rPr>
                <w:sz w:val="20"/>
                <w:szCs w:val="20"/>
              </w:rPr>
            </w:pPr>
            <w:r w:rsidRPr="00A668C2">
              <w:rPr>
                <w:sz w:val="20"/>
                <w:szCs w:val="20"/>
              </w:rPr>
              <w:t>510</w:t>
            </w:r>
          </w:p>
        </w:tc>
        <w:tc>
          <w:tcPr>
            <w:tcW w:w="960" w:type="dxa"/>
            <w:tcBorders>
              <w:top w:val="nil"/>
              <w:left w:val="nil"/>
              <w:bottom w:val="nil"/>
              <w:right w:val="nil"/>
            </w:tcBorders>
            <w:shd w:val="clear" w:color="auto" w:fill="auto"/>
            <w:noWrap/>
            <w:vAlign w:val="bottom"/>
            <w:hideMark/>
          </w:tcPr>
          <w:p w14:paraId="42695940" w14:textId="77777777" w:rsidR="00A668C2" w:rsidRPr="00A668C2" w:rsidRDefault="00A668C2" w:rsidP="00A668C2">
            <w:pPr>
              <w:tabs>
                <w:tab w:val="clear" w:pos="284"/>
              </w:tabs>
              <w:spacing w:after="0" w:line="240" w:lineRule="auto"/>
              <w:jc w:val="right"/>
              <w:rPr>
                <w:sz w:val="20"/>
                <w:szCs w:val="20"/>
              </w:rPr>
            </w:pPr>
            <w:r w:rsidRPr="00A668C2">
              <w:rPr>
                <w:sz w:val="20"/>
                <w:szCs w:val="20"/>
              </w:rPr>
              <w:t>141</w:t>
            </w:r>
          </w:p>
        </w:tc>
        <w:tc>
          <w:tcPr>
            <w:tcW w:w="960" w:type="dxa"/>
            <w:tcBorders>
              <w:top w:val="nil"/>
              <w:left w:val="nil"/>
              <w:bottom w:val="nil"/>
              <w:right w:val="nil"/>
            </w:tcBorders>
            <w:shd w:val="clear" w:color="auto" w:fill="auto"/>
            <w:noWrap/>
            <w:vAlign w:val="bottom"/>
            <w:hideMark/>
          </w:tcPr>
          <w:p w14:paraId="5E91C82F" w14:textId="77777777" w:rsidR="00A668C2" w:rsidRPr="00A668C2" w:rsidRDefault="00A668C2" w:rsidP="00A668C2">
            <w:pPr>
              <w:tabs>
                <w:tab w:val="clear" w:pos="284"/>
              </w:tabs>
              <w:spacing w:after="0" w:line="240" w:lineRule="auto"/>
              <w:jc w:val="right"/>
              <w:rPr>
                <w:sz w:val="20"/>
                <w:szCs w:val="20"/>
              </w:rPr>
            </w:pPr>
            <w:r w:rsidRPr="00A668C2">
              <w:rPr>
                <w:sz w:val="20"/>
                <w:szCs w:val="20"/>
              </w:rPr>
              <w:t>177</w:t>
            </w:r>
          </w:p>
        </w:tc>
        <w:tc>
          <w:tcPr>
            <w:tcW w:w="960" w:type="dxa"/>
            <w:tcBorders>
              <w:top w:val="nil"/>
              <w:left w:val="nil"/>
              <w:bottom w:val="nil"/>
              <w:right w:val="nil"/>
            </w:tcBorders>
            <w:shd w:val="clear" w:color="auto" w:fill="auto"/>
            <w:noWrap/>
            <w:vAlign w:val="bottom"/>
            <w:hideMark/>
          </w:tcPr>
          <w:p w14:paraId="19B9AE69" w14:textId="77777777" w:rsidR="00A668C2" w:rsidRPr="00A668C2" w:rsidRDefault="00A668C2" w:rsidP="00A668C2">
            <w:pPr>
              <w:tabs>
                <w:tab w:val="clear" w:pos="284"/>
              </w:tabs>
              <w:spacing w:after="0" w:line="240" w:lineRule="auto"/>
              <w:jc w:val="right"/>
              <w:rPr>
                <w:sz w:val="20"/>
                <w:szCs w:val="20"/>
              </w:rPr>
            </w:pPr>
            <w:r w:rsidRPr="00A668C2">
              <w:rPr>
                <w:sz w:val="20"/>
                <w:szCs w:val="20"/>
              </w:rPr>
              <w:t>117</w:t>
            </w:r>
          </w:p>
        </w:tc>
        <w:tc>
          <w:tcPr>
            <w:tcW w:w="960" w:type="dxa"/>
            <w:tcBorders>
              <w:top w:val="nil"/>
              <w:left w:val="nil"/>
              <w:bottom w:val="nil"/>
              <w:right w:val="nil"/>
            </w:tcBorders>
            <w:shd w:val="clear" w:color="auto" w:fill="auto"/>
            <w:noWrap/>
            <w:vAlign w:val="bottom"/>
            <w:hideMark/>
          </w:tcPr>
          <w:p w14:paraId="0364A4E0" w14:textId="77777777" w:rsidR="00A668C2" w:rsidRPr="00A668C2" w:rsidRDefault="00A668C2" w:rsidP="00A668C2">
            <w:pPr>
              <w:tabs>
                <w:tab w:val="clear" w:pos="284"/>
              </w:tabs>
              <w:spacing w:after="0" w:line="240" w:lineRule="auto"/>
              <w:jc w:val="right"/>
              <w:rPr>
                <w:sz w:val="20"/>
                <w:szCs w:val="20"/>
              </w:rPr>
            </w:pPr>
            <w:r w:rsidRPr="00A668C2">
              <w:rPr>
                <w:sz w:val="20"/>
                <w:szCs w:val="20"/>
              </w:rPr>
              <w:t>118</w:t>
            </w:r>
          </w:p>
        </w:tc>
        <w:tc>
          <w:tcPr>
            <w:tcW w:w="960" w:type="dxa"/>
            <w:tcBorders>
              <w:top w:val="nil"/>
              <w:left w:val="nil"/>
              <w:bottom w:val="nil"/>
              <w:right w:val="nil"/>
            </w:tcBorders>
            <w:shd w:val="clear" w:color="auto" w:fill="auto"/>
            <w:noWrap/>
            <w:vAlign w:val="bottom"/>
            <w:hideMark/>
          </w:tcPr>
          <w:p w14:paraId="4715D7BA" w14:textId="77777777" w:rsidR="00A668C2" w:rsidRPr="00A668C2" w:rsidRDefault="00A668C2" w:rsidP="00A668C2">
            <w:pPr>
              <w:tabs>
                <w:tab w:val="clear" w:pos="284"/>
              </w:tabs>
              <w:spacing w:after="0" w:line="240" w:lineRule="auto"/>
              <w:jc w:val="right"/>
              <w:rPr>
                <w:sz w:val="20"/>
                <w:szCs w:val="20"/>
              </w:rPr>
            </w:pPr>
            <w:r w:rsidRPr="00A668C2">
              <w:rPr>
                <w:sz w:val="20"/>
                <w:szCs w:val="20"/>
              </w:rPr>
              <w:t>122</w:t>
            </w:r>
          </w:p>
        </w:tc>
        <w:tc>
          <w:tcPr>
            <w:tcW w:w="960" w:type="dxa"/>
            <w:tcBorders>
              <w:top w:val="nil"/>
              <w:left w:val="nil"/>
              <w:bottom w:val="nil"/>
              <w:right w:val="nil"/>
            </w:tcBorders>
            <w:shd w:val="clear" w:color="auto" w:fill="auto"/>
            <w:noWrap/>
            <w:vAlign w:val="bottom"/>
            <w:hideMark/>
          </w:tcPr>
          <w:p w14:paraId="2C01D6CF" w14:textId="77777777" w:rsidR="00A668C2" w:rsidRPr="00A668C2" w:rsidRDefault="00A668C2" w:rsidP="00A668C2">
            <w:pPr>
              <w:tabs>
                <w:tab w:val="clear" w:pos="284"/>
              </w:tabs>
              <w:spacing w:after="0" w:line="240" w:lineRule="auto"/>
              <w:jc w:val="right"/>
              <w:rPr>
                <w:sz w:val="20"/>
                <w:szCs w:val="20"/>
              </w:rPr>
            </w:pPr>
            <w:r w:rsidRPr="00A668C2">
              <w:rPr>
                <w:sz w:val="20"/>
                <w:szCs w:val="20"/>
              </w:rPr>
              <w:t>127</w:t>
            </w:r>
          </w:p>
        </w:tc>
        <w:tc>
          <w:tcPr>
            <w:tcW w:w="960" w:type="dxa"/>
            <w:tcBorders>
              <w:top w:val="nil"/>
              <w:left w:val="nil"/>
              <w:bottom w:val="nil"/>
              <w:right w:val="nil"/>
            </w:tcBorders>
            <w:shd w:val="clear" w:color="auto" w:fill="auto"/>
            <w:noWrap/>
            <w:vAlign w:val="bottom"/>
            <w:hideMark/>
          </w:tcPr>
          <w:p w14:paraId="5D9A8DAD" w14:textId="77777777" w:rsidR="00A668C2" w:rsidRPr="00A668C2" w:rsidRDefault="00A668C2" w:rsidP="00A668C2">
            <w:pPr>
              <w:tabs>
                <w:tab w:val="clear" w:pos="284"/>
              </w:tabs>
              <w:spacing w:after="0" w:line="240" w:lineRule="auto"/>
              <w:jc w:val="right"/>
              <w:rPr>
                <w:sz w:val="20"/>
                <w:szCs w:val="20"/>
              </w:rPr>
            </w:pPr>
            <w:r w:rsidRPr="00A668C2">
              <w:rPr>
                <w:sz w:val="20"/>
                <w:szCs w:val="20"/>
              </w:rPr>
              <w:t>134</w:t>
            </w:r>
          </w:p>
        </w:tc>
      </w:tr>
      <w:tr w:rsidR="00A668C2" w:rsidRPr="00A668C2" w14:paraId="297D95F6" w14:textId="77777777" w:rsidTr="006667F3">
        <w:trPr>
          <w:trHeight w:val="255"/>
        </w:trPr>
        <w:tc>
          <w:tcPr>
            <w:tcW w:w="1701" w:type="dxa"/>
            <w:tcBorders>
              <w:top w:val="nil"/>
              <w:left w:val="nil"/>
              <w:bottom w:val="nil"/>
              <w:right w:val="nil"/>
            </w:tcBorders>
            <w:shd w:val="clear" w:color="auto" w:fill="auto"/>
            <w:noWrap/>
            <w:vAlign w:val="bottom"/>
            <w:hideMark/>
          </w:tcPr>
          <w:p w14:paraId="083D7025" w14:textId="77777777" w:rsidR="00A668C2" w:rsidRPr="00A668C2" w:rsidRDefault="00A668C2" w:rsidP="00A668C2">
            <w:pPr>
              <w:tabs>
                <w:tab w:val="clear" w:pos="284"/>
              </w:tabs>
              <w:spacing w:after="0" w:line="240" w:lineRule="auto"/>
              <w:rPr>
                <w:sz w:val="20"/>
                <w:szCs w:val="20"/>
              </w:rPr>
            </w:pPr>
            <w:r w:rsidRPr="00A668C2">
              <w:rPr>
                <w:sz w:val="20"/>
                <w:szCs w:val="20"/>
              </w:rPr>
              <w:t>Luxembourg</w:t>
            </w:r>
          </w:p>
        </w:tc>
        <w:tc>
          <w:tcPr>
            <w:tcW w:w="639" w:type="dxa"/>
            <w:tcBorders>
              <w:top w:val="nil"/>
              <w:left w:val="nil"/>
              <w:bottom w:val="nil"/>
              <w:right w:val="nil"/>
            </w:tcBorders>
            <w:shd w:val="clear" w:color="auto" w:fill="auto"/>
            <w:noWrap/>
            <w:vAlign w:val="bottom"/>
            <w:hideMark/>
          </w:tcPr>
          <w:p w14:paraId="3803E33B" w14:textId="77777777" w:rsidR="00A668C2" w:rsidRPr="00A668C2" w:rsidRDefault="00A668C2" w:rsidP="00A668C2">
            <w:pPr>
              <w:tabs>
                <w:tab w:val="clear" w:pos="284"/>
              </w:tabs>
              <w:spacing w:after="0" w:line="240" w:lineRule="auto"/>
              <w:jc w:val="right"/>
              <w:rPr>
                <w:sz w:val="20"/>
                <w:szCs w:val="20"/>
              </w:rPr>
            </w:pPr>
            <w:r w:rsidRPr="00A668C2">
              <w:rPr>
                <w:sz w:val="20"/>
                <w:szCs w:val="20"/>
              </w:rPr>
              <w:t>105</w:t>
            </w:r>
          </w:p>
        </w:tc>
        <w:tc>
          <w:tcPr>
            <w:tcW w:w="960" w:type="dxa"/>
            <w:tcBorders>
              <w:top w:val="nil"/>
              <w:left w:val="nil"/>
              <w:bottom w:val="nil"/>
              <w:right w:val="nil"/>
            </w:tcBorders>
            <w:shd w:val="clear" w:color="auto" w:fill="auto"/>
            <w:noWrap/>
            <w:vAlign w:val="bottom"/>
            <w:hideMark/>
          </w:tcPr>
          <w:p w14:paraId="08311339" w14:textId="77777777" w:rsidR="00A668C2" w:rsidRPr="00A668C2" w:rsidRDefault="00A668C2" w:rsidP="00A668C2">
            <w:pPr>
              <w:tabs>
                <w:tab w:val="clear" w:pos="284"/>
              </w:tabs>
              <w:spacing w:after="0" w:line="240" w:lineRule="auto"/>
              <w:jc w:val="right"/>
              <w:rPr>
                <w:sz w:val="20"/>
                <w:szCs w:val="20"/>
              </w:rPr>
            </w:pPr>
            <w:r w:rsidRPr="00A668C2">
              <w:rPr>
                <w:sz w:val="20"/>
                <w:szCs w:val="20"/>
              </w:rPr>
              <w:t>100</w:t>
            </w:r>
          </w:p>
        </w:tc>
        <w:tc>
          <w:tcPr>
            <w:tcW w:w="960" w:type="dxa"/>
            <w:tcBorders>
              <w:top w:val="nil"/>
              <w:left w:val="nil"/>
              <w:bottom w:val="nil"/>
              <w:right w:val="nil"/>
            </w:tcBorders>
            <w:shd w:val="clear" w:color="auto" w:fill="auto"/>
            <w:noWrap/>
            <w:vAlign w:val="bottom"/>
            <w:hideMark/>
          </w:tcPr>
          <w:p w14:paraId="5DBB1B71" w14:textId="77777777" w:rsidR="00A668C2" w:rsidRPr="00A668C2" w:rsidRDefault="00A668C2" w:rsidP="00A668C2">
            <w:pPr>
              <w:tabs>
                <w:tab w:val="clear" w:pos="284"/>
              </w:tabs>
              <w:spacing w:after="0" w:line="240" w:lineRule="auto"/>
              <w:jc w:val="right"/>
              <w:rPr>
                <w:sz w:val="20"/>
                <w:szCs w:val="20"/>
              </w:rPr>
            </w:pPr>
            <w:r w:rsidRPr="00A668C2">
              <w:rPr>
                <w:sz w:val="20"/>
                <w:szCs w:val="20"/>
              </w:rPr>
              <w:t>109</w:t>
            </w:r>
          </w:p>
        </w:tc>
        <w:tc>
          <w:tcPr>
            <w:tcW w:w="960" w:type="dxa"/>
            <w:tcBorders>
              <w:top w:val="nil"/>
              <w:left w:val="nil"/>
              <w:bottom w:val="nil"/>
              <w:right w:val="nil"/>
            </w:tcBorders>
            <w:shd w:val="clear" w:color="auto" w:fill="auto"/>
            <w:noWrap/>
            <w:vAlign w:val="bottom"/>
            <w:hideMark/>
          </w:tcPr>
          <w:p w14:paraId="6E189E8E" w14:textId="77777777" w:rsidR="00A668C2" w:rsidRPr="00A668C2" w:rsidRDefault="00A668C2" w:rsidP="00A668C2">
            <w:pPr>
              <w:tabs>
                <w:tab w:val="clear" w:pos="284"/>
              </w:tabs>
              <w:spacing w:after="0" w:line="240" w:lineRule="auto"/>
              <w:jc w:val="right"/>
              <w:rPr>
                <w:sz w:val="20"/>
                <w:szCs w:val="20"/>
              </w:rPr>
            </w:pPr>
            <w:r w:rsidRPr="00A668C2">
              <w:rPr>
                <w:sz w:val="20"/>
                <w:szCs w:val="20"/>
              </w:rPr>
              <w:t>103</w:t>
            </w:r>
          </w:p>
        </w:tc>
        <w:tc>
          <w:tcPr>
            <w:tcW w:w="960" w:type="dxa"/>
            <w:tcBorders>
              <w:top w:val="nil"/>
              <w:left w:val="nil"/>
              <w:bottom w:val="nil"/>
              <w:right w:val="nil"/>
            </w:tcBorders>
            <w:shd w:val="clear" w:color="auto" w:fill="auto"/>
            <w:noWrap/>
            <w:vAlign w:val="bottom"/>
            <w:hideMark/>
          </w:tcPr>
          <w:p w14:paraId="4187ABFD" w14:textId="77777777" w:rsidR="00A668C2" w:rsidRPr="00A668C2" w:rsidRDefault="00A668C2" w:rsidP="00A668C2">
            <w:pPr>
              <w:tabs>
                <w:tab w:val="clear" w:pos="284"/>
              </w:tabs>
              <w:spacing w:after="0" w:line="240" w:lineRule="auto"/>
              <w:jc w:val="right"/>
              <w:rPr>
                <w:sz w:val="20"/>
                <w:szCs w:val="20"/>
              </w:rPr>
            </w:pPr>
            <w:r w:rsidRPr="00A668C2">
              <w:rPr>
                <w:sz w:val="20"/>
                <w:szCs w:val="20"/>
              </w:rPr>
              <w:t>91</w:t>
            </w:r>
          </w:p>
        </w:tc>
        <w:tc>
          <w:tcPr>
            <w:tcW w:w="960" w:type="dxa"/>
            <w:tcBorders>
              <w:top w:val="nil"/>
              <w:left w:val="nil"/>
              <w:bottom w:val="nil"/>
              <w:right w:val="nil"/>
            </w:tcBorders>
            <w:shd w:val="clear" w:color="auto" w:fill="auto"/>
            <w:noWrap/>
            <w:vAlign w:val="bottom"/>
            <w:hideMark/>
          </w:tcPr>
          <w:p w14:paraId="0CDDF33D" w14:textId="77777777" w:rsidR="00A668C2" w:rsidRPr="00A668C2" w:rsidRDefault="00A668C2" w:rsidP="00A668C2">
            <w:pPr>
              <w:tabs>
                <w:tab w:val="clear" w:pos="284"/>
              </w:tabs>
              <w:spacing w:after="0" w:line="240" w:lineRule="auto"/>
              <w:jc w:val="right"/>
              <w:rPr>
                <w:sz w:val="20"/>
                <w:szCs w:val="20"/>
              </w:rPr>
            </w:pPr>
            <w:r w:rsidRPr="00A668C2">
              <w:rPr>
                <w:sz w:val="20"/>
                <w:szCs w:val="20"/>
              </w:rPr>
              <w:t>89</w:t>
            </w:r>
          </w:p>
        </w:tc>
        <w:tc>
          <w:tcPr>
            <w:tcW w:w="960" w:type="dxa"/>
            <w:tcBorders>
              <w:top w:val="nil"/>
              <w:left w:val="nil"/>
              <w:bottom w:val="nil"/>
              <w:right w:val="nil"/>
            </w:tcBorders>
            <w:shd w:val="clear" w:color="auto" w:fill="auto"/>
            <w:noWrap/>
            <w:vAlign w:val="bottom"/>
            <w:hideMark/>
          </w:tcPr>
          <w:p w14:paraId="39C914F9" w14:textId="77777777" w:rsidR="00A668C2" w:rsidRPr="00A668C2" w:rsidRDefault="00A668C2" w:rsidP="00A668C2">
            <w:pPr>
              <w:tabs>
                <w:tab w:val="clear" w:pos="284"/>
              </w:tabs>
              <w:spacing w:after="0" w:line="240" w:lineRule="auto"/>
              <w:jc w:val="right"/>
              <w:rPr>
                <w:sz w:val="20"/>
                <w:szCs w:val="20"/>
              </w:rPr>
            </w:pPr>
            <w:r w:rsidRPr="00A668C2">
              <w:rPr>
                <w:sz w:val="20"/>
                <w:szCs w:val="20"/>
              </w:rPr>
              <w:t>105</w:t>
            </w:r>
          </w:p>
        </w:tc>
        <w:tc>
          <w:tcPr>
            <w:tcW w:w="960" w:type="dxa"/>
            <w:tcBorders>
              <w:top w:val="nil"/>
              <w:left w:val="nil"/>
              <w:bottom w:val="nil"/>
              <w:right w:val="nil"/>
            </w:tcBorders>
            <w:shd w:val="clear" w:color="auto" w:fill="auto"/>
            <w:noWrap/>
            <w:vAlign w:val="bottom"/>
            <w:hideMark/>
          </w:tcPr>
          <w:p w14:paraId="72365591" w14:textId="77777777" w:rsidR="00A668C2" w:rsidRPr="00A668C2" w:rsidRDefault="00A668C2" w:rsidP="00A668C2">
            <w:pPr>
              <w:tabs>
                <w:tab w:val="clear" w:pos="284"/>
              </w:tabs>
              <w:spacing w:after="0" w:line="240" w:lineRule="auto"/>
              <w:jc w:val="right"/>
              <w:rPr>
                <w:sz w:val="20"/>
                <w:szCs w:val="20"/>
              </w:rPr>
            </w:pPr>
            <w:r w:rsidRPr="00A668C2">
              <w:rPr>
                <w:sz w:val="20"/>
                <w:szCs w:val="20"/>
              </w:rPr>
              <w:t>120</w:t>
            </w:r>
          </w:p>
        </w:tc>
      </w:tr>
      <w:tr w:rsidR="00A668C2" w:rsidRPr="00A668C2" w14:paraId="5C628409" w14:textId="77777777" w:rsidTr="006667F3">
        <w:trPr>
          <w:trHeight w:val="255"/>
        </w:trPr>
        <w:tc>
          <w:tcPr>
            <w:tcW w:w="1701" w:type="dxa"/>
            <w:tcBorders>
              <w:top w:val="nil"/>
              <w:left w:val="nil"/>
              <w:bottom w:val="nil"/>
              <w:right w:val="nil"/>
            </w:tcBorders>
            <w:shd w:val="clear" w:color="auto" w:fill="auto"/>
            <w:noWrap/>
            <w:vAlign w:val="bottom"/>
            <w:hideMark/>
          </w:tcPr>
          <w:p w14:paraId="51EEC2A0" w14:textId="77777777" w:rsidR="00A668C2" w:rsidRPr="00A668C2" w:rsidRDefault="00A668C2" w:rsidP="00A668C2">
            <w:pPr>
              <w:tabs>
                <w:tab w:val="clear" w:pos="284"/>
              </w:tabs>
              <w:spacing w:after="0" w:line="240" w:lineRule="auto"/>
              <w:rPr>
                <w:sz w:val="20"/>
                <w:szCs w:val="20"/>
              </w:rPr>
            </w:pPr>
            <w:r w:rsidRPr="00A668C2">
              <w:rPr>
                <w:sz w:val="20"/>
                <w:szCs w:val="20"/>
              </w:rPr>
              <w:t>New Zealand</w:t>
            </w:r>
          </w:p>
        </w:tc>
        <w:tc>
          <w:tcPr>
            <w:tcW w:w="639" w:type="dxa"/>
            <w:tcBorders>
              <w:top w:val="nil"/>
              <w:left w:val="nil"/>
              <w:bottom w:val="nil"/>
              <w:right w:val="nil"/>
            </w:tcBorders>
            <w:shd w:val="clear" w:color="auto" w:fill="auto"/>
            <w:noWrap/>
            <w:vAlign w:val="bottom"/>
            <w:hideMark/>
          </w:tcPr>
          <w:p w14:paraId="4FAD602C" w14:textId="77777777" w:rsidR="00A668C2" w:rsidRPr="00A668C2" w:rsidRDefault="00A668C2" w:rsidP="00A668C2">
            <w:pPr>
              <w:tabs>
                <w:tab w:val="clear" w:pos="284"/>
              </w:tabs>
              <w:spacing w:after="0" w:line="240" w:lineRule="auto"/>
              <w:jc w:val="right"/>
              <w:rPr>
                <w:sz w:val="20"/>
                <w:szCs w:val="20"/>
              </w:rPr>
            </w:pPr>
            <w:r w:rsidRPr="00A668C2">
              <w:rPr>
                <w:sz w:val="20"/>
                <w:szCs w:val="20"/>
              </w:rPr>
              <w:t>69</w:t>
            </w:r>
          </w:p>
        </w:tc>
        <w:tc>
          <w:tcPr>
            <w:tcW w:w="960" w:type="dxa"/>
            <w:tcBorders>
              <w:top w:val="nil"/>
              <w:left w:val="nil"/>
              <w:bottom w:val="nil"/>
              <w:right w:val="nil"/>
            </w:tcBorders>
            <w:shd w:val="clear" w:color="auto" w:fill="auto"/>
            <w:noWrap/>
            <w:vAlign w:val="bottom"/>
            <w:hideMark/>
          </w:tcPr>
          <w:p w14:paraId="494F4EFA" w14:textId="77777777" w:rsidR="00A668C2" w:rsidRPr="00A668C2" w:rsidRDefault="00A668C2" w:rsidP="00A668C2">
            <w:pPr>
              <w:tabs>
                <w:tab w:val="clear" w:pos="284"/>
              </w:tabs>
              <w:spacing w:after="0" w:line="240" w:lineRule="auto"/>
              <w:jc w:val="right"/>
              <w:rPr>
                <w:sz w:val="20"/>
                <w:szCs w:val="20"/>
              </w:rPr>
            </w:pPr>
            <w:r w:rsidRPr="00A668C2">
              <w:rPr>
                <w:sz w:val="20"/>
                <w:szCs w:val="20"/>
              </w:rPr>
              <w:t>71</w:t>
            </w:r>
          </w:p>
        </w:tc>
        <w:tc>
          <w:tcPr>
            <w:tcW w:w="960" w:type="dxa"/>
            <w:tcBorders>
              <w:top w:val="nil"/>
              <w:left w:val="nil"/>
              <w:bottom w:val="nil"/>
              <w:right w:val="nil"/>
            </w:tcBorders>
            <w:shd w:val="clear" w:color="auto" w:fill="auto"/>
            <w:noWrap/>
            <w:vAlign w:val="bottom"/>
            <w:hideMark/>
          </w:tcPr>
          <w:p w14:paraId="0295A23E" w14:textId="77777777" w:rsidR="00A668C2" w:rsidRPr="00A668C2" w:rsidRDefault="00A668C2" w:rsidP="00A668C2">
            <w:pPr>
              <w:tabs>
                <w:tab w:val="clear" w:pos="284"/>
              </w:tabs>
              <w:spacing w:after="0" w:line="240" w:lineRule="auto"/>
              <w:jc w:val="right"/>
              <w:rPr>
                <w:sz w:val="20"/>
                <w:szCs w:val="20"/>
              </w:rPr>
            </w:pPr>
            <w:r w:rsidRPr="00A668C2">
              <w:rPr>
                <w:sz w:val="20"/>
                <w:szCs w:val="20"/>
              </w:rPr>
              <w:t>57</w:t>
            </w:r>
          </w:p>
        </w:tc>
        <w:tc>
          <w:tcPr>
            <w:tcW w:w="960" w:type="dxa"/>
            <w:tcBorders>
              <w:top w:val="nil"/>
              <w:left w:val="nil"/>
              <w:bottom w:val="nil"/>
              <w:right w:val="nil"/>
            </w:tcBorders>
            <w:shd w:val="clear" w:color="auto" w:fill="auto"/>
            <w:noWrap/>
            <w:vAlign w:val="bottom"/>
            <w:hideMark/>
          </w:tcPr>
          <w:p w14:paraId="417DDAB2" w14:textId="77777777" w:rsidR="00A668C2" w:rsidRPr="00A668C2" w:rsidRDefault="00A668C2" w:rsidP="00A668C2">
            <w:pPr>
              <w:tabs>
                <w:tab w:val="clear" w:pos="284"/>
              </w:tabs>
              <w:spacing w:after="0" w:line="240" w:lineRule="auto"/>
              <w:jc w:val="right"/>
              <w:rPr>
                <w:sz w:val="20"/>
                <w:szCs w:val="20"/>
              </w:rPr>
            </w:pPr>
            <w:r w:rsidRPr="00A668C2">
              <w:rPr>
                <w:sz w:val="20"/>
                <w:szCs w:val="20"/>
              </w:rPr>
              <w:t>79</w:t>
            </w:r>
          </w:p>
        </w:tc>
        <w:tc>
          <w:tcPr>
            <w:tcW w:w="960" w:type="dxa"/>
            <w:tcBorders>
              <w:top w:val="nil"/>
              <w:left w:val="nil"/>
              <w:bottom w:val="nil"/>
              <w:right w:val="nil"/>
            </w:tcBorders>
            <w:shd w:val="clear" w:color="auto" w:fill="auto"/>
            <w:noWrap/>
            <w:vAlign w:val="bottom"/>
            <w:hideMark/>
          </w:tcPr>
          <w:p w14:paraId="143BC505" w14:textId="77777777" w:rsidR="00A668C2" w:rsidRPr="00A668C2" w:rsidRDefault="00A668C2" w:rsidP="00A668C2">
            <w:pPr>
              <w:tabs>
                <w:tab w:val="clear" w:pos="284"/>
              </w:tabs>
              <w:spacing w:after="0" w:line="240" w:lineRule="auto"/>
              <w:jc w:val="right"/>
              <w:rPr>
                <w:sz w:val="20"/>
                <w:szCs w:val="20"/>
              </w:rPr>
            </w:pPr>
            <w:r w:rsidRPr="00A668C2">
              <w:rPr>
                <w:sz w:val="20"/>
                <w:szCs w:val="20"/>
              </w:rPr>
              <w:t>60</w:t>
            </w:r>
          </w:p>
        </w:tc>
        <w:tc>
          <w:tcPr>
            <w:tcW w:w="960" w:type="dxa"/>
            <w:tcBorders>
              <w:top w:val="nil"/>
              <w:left w:val="nil"/>
              <w:bottom w:val="nil"/>
              <w:right w:val="nil"/>
            </w:tcBorders>
            <w:shd w:val="clear" w:color="auto" w:fill="auto"/>
            <w:noWrap/>
            <w:vAlign w:val="bottom"/>
            <w:hideMark/>
          </w:tcPr>
          <w:p w14:paraId="54021FF1" w14:textId="77777777" w:rsidR="00A668C2" w:rsidRPr="00A668C2" w:rsidRDefault="00A668C2" w:rsidP="00A668C2">
            <w:pPr>
              <w:tabs>
                <w:tab w:val="clear" w:pos="284"/>
              </w:tabs>
              <w:spacing w:after="0" w:line="240" w:lineRule="auto"/>
              <w:jc w:val="right"/>
              <w:rPr>
                <w:sz w:val="20"/>
                <w:szCs w:val="20"/>
              </w:rPr>
            </w:pPr>
            <w:r w:rsidRPr="00A668C2">
              <w:rPr>
                <w:sz w:val="20"/>
                <w:szCs w:val="20"/>
              </w:rPr>
              <w:t>56</w:t>
            </w:r>
          </w:p>
        </w:tc>
        <w:tc>
          <w:tcPr>
            <w:tcW w:w="960" w:type="dxa"/>
            <w:tcBorders>
              <w:top w:val="nil"/>
              <w:left w:val="nil"/>
              <w:bottom w:val="nil"/>
              <w:right w:val="nil"/>
            </w:tcBorders>
            <w:shd w:val="clear" w:color="auto" w:fill="auto"/>
            <w:noWrap/>
            <w:vAlign w:val="bottom"/>
            <w:hideMark/>
          </w:tcPr>
          <w:p w14:paraId="70903332" w14:textId="77777777" w:rsidR="00A668C2" w:rsidRPr="00A668C2" w:rsidRDefault="00A668C2" w:rsidP="00A668C2">
            <w:pPr>
              <w:tabs>
                <w:tab w:val="clear" w:pos="284"/>
              </w:tabs>
              <w:spacing w:after="0" w:line="240" w:lineRule="auto"/>
              <w:jc w:val="right"/>
              <w:rPr>
                <w:sz w:val="20"/>
                <w:szCs w:val="20"/>
              </w:rPr>
            </w:pPr>
            <w:r w:rsidRPr="00A668C2">
              <w:rPr>
                <w:sz w:val="20"/>
                <w:szCs w:val="20"/>
              </w:rPr>
              <w:t>61</w:t>
            </w:r>
          </w:p>
        </w:tc>
        <w:tc>
          <w:tcPr>
            <w:tcW w:w="960" w:type="dxa"/>
            <w:tcBorders>
              <w:top w:val="nil"/>
              <w:left w:val="nil"/>
              <w:bottom w:val="nil"/>
              <w:right w:val="nil"/>
            </w:tcBorders>
            <w:shd w:val="clear" w:color="auto" w:fill="auto"/>
            <w:noWrap/>
            <w:vAlign w:val="bottom"/>
            <w:hideMark/>
          </w:tcPr>
          <w:p w14:paraId="6708EC6A" w14:textId="77777777" w:rsidR="00A668C2" w:rsidRPr="00A668C2" w:rsidRDefault="00A668C2" w:rsidP="00A668C2">
            <w:pPr>
              <w:tabs>
                <w:tab w:val="clear" w:pos="284"/>
              </w:tabs>
              <w:spacing w:after="0" w:line="240" w:lineRule="auto"/>
              <w:jc w:val="right"/>
              <w:rPr>
                <w:sz w:val="20"/>
                <w:szCs w:val="20"/>
              </w:rPr>
            </w:pPr>
            <w:r w:rsidRPr="00A668C2">
              <w:rPr>
                <w:sz w:val="20"/>
                <w:szCs w:val="20"/>
              </w:rPr>
              <w:t>68</w:t>
            </w:r>
          </w:p>
        </w:tc>
      </w:tr>
      <w:tr w:rsidR="00A668C2" w:rsidRPr="00A668C2" w14:paraId="78CBA234" w14:textId="77777777" w:rsidTr="006667F3">
        <w:trPr>
          <w:trHeight w:val="255"/>
        </w:trPr>
        <w:tc>
          <w:tcPr>
            <w:tcW w:w="1701" w:type="dxa"/>
            <w:tcBorders>
              <w:top w:val="nil"/>
              <w:left w:val="nil"/>
              <w:bottom w:val="nil"/>
              <w:right w:val="nil"/>
            </w:tcBorders>
            <w:shd w:val="clear" w:color="auto" w:fill="auto"/>
            <w:noWrap/>
            <w:vAlign w:val="bottom"/>
            <w:hideMark/>
          </w:tcPr>
          <w:p w14:paraId="4A702BD4" w14:textId="77777777" w:rsidR="00A668C2" w:rsidRPr="00A668C2" w:rsidRDefault="00A668C2" w:rsidP="00A668C2">
            <w:pPr>
              <w:tabs>
                <w:tab w:val="clear" w:pos="284"/>
              </w:tabs>
              <w:spacing w:after="0" w:line="240" w:lineRule="auto"/>
              <w:rPr>
                <w:sz w:val="20"/>
                <w:szCs w:val="20"/>
              </w:rPr>
            </w:pPr>
            <w:r w:rsidRPr="00A668C2">
              <w:rPr>
                <w:sz w:val="20"/>
                <w:szCs w:val="20"/>
              </w:rPr>
              <w:t>Austria</w:t>
            </w:r>
          </w:p>
        </w:tc>
        <w:tc>
          <w:tcPr>
            <w:tcW w:w="639" w:type="dxa"/>
            <w:tcBorders>
              <w:top w:val="nil"/>
              <w:left w:val="nil"/>
              <w:bottom w:val="nil"/>
              <w:right w:val="nil"/>
            </w:tcBorders>
            <w:shd w:val="clear" w:color="auto" w:fill="auto"/>
            <w:noWrap/>
            <w:vAlign w:val="bottom"/>
            <w:hideMark/>
          </w:tcPr>
          <w:p w14:paraId="4C4E46B2" w14:textId="77777777" w:rsidR="00A668C2" w:rsidRPr="00A668C2" w:rsidRDefault="00A668C2" w:rsidP="00A668C2">
            <w:pPr>
              <w:tabs>
                <w:tab w:val="clear" w:pos="284"/>
              </w:tabs>
              <w:spacing w:after="0" w:line="240" w:lineRule="auto"/>
              <w:jc w:val="right"/>
              <w:rPr>
                <w:sz w:val="20"/>
                <w:szCs w:val="20"/>
              </w:rPr>
            </w:pPr>
            <w:r w:rsidRPr="00A668C2">
              <w:rPr>
                <w:sz w:val="20"/>
                <w:szCs w:val="20"/>
              </w:rPr>
              <w:t>52</w:t>
            </w:r>
          </w:p>
        </w:tc>
        <w:tc>
          <w:tcPr>
            <w:tcW w:w="960" w:type="dxa"/>
            <w:tcBorders>
              <w:top w:val="nil"/>
              <w:left w:val="nil"/>
              <w:bottom w:val="nil"/>
              <w:right w:val="nil"/>
            </w:tcBorders>
            <w:shd w:val="clear" w:color="auto" w:fill="auto"/>
            <w:noWrap/>
            <w:vAlign w:val="bottom"/>
            <w:hideMark/>
          </w:tcPr>
          <w:p w14:paraId="71FAFCF8" w14:textId="77777777" w:rsidR="00A668C2" w:rsidRPr="00A668C2" w:rsidRDefault="00A668C2" w:rsidP="00A668C2">
            <w:pPr>
              <w:tabs>
                <w:tab w:val="clear" w:pos="284"/>
              </w:tabs>
              <w:spacing w:after="0" w:line="240" w:lineRule="auto"/>
              <w:jc w:val="right"/>
              <w:rPr>
                <w:sz w:val="20"/>
                <w:szCs w:val="20"/>
              </w:rPr>
            </w:pPr>
            <w:r w:rsidRPr="00A668C2">
              <w:rPr>
                <w:sz w:val="20"/>
                <w:szCs w:val="20"/>
              </w:rPr>
              <w:t>41</w:t>
            </w:r>
          </w:p>
        </w:tc>
        <w:tc>
          <w:tcPr>
            <w:tcW w:w="960" w:type="dxa"/>
            <w:tcBorders>
              <w:top w:val="nil"/>
              <w:left w:val="nil"/>
              <w:bottom w:val="nil"/>
              <w:right w:val="nil"/>
            </w:tcBorders>
            <w:shd w:val="clear" w:color="auto" w:fill="auto"/>
            <w:noWrap/>
            <w:vAlign w:val="bottom"/>
            <w:hideMark/>
          </w:tcPr>
          <w:p w14:paraId="44C79BEC" w14:textId="77777777" w:rsidR="00A668C2" w:rsidRPr="00A668C2" w:rsidRDefault="00A668C2" w:rsidP="00A668C2">
            <w:pPr>
              <w:tabs>
                <w:tab w:val="clear" w:pos="284"/>
              </w:tabs>
              <w:spacing w:after="0" w:line="240" w:lineRule="auto"/>
              <w:jc w:val="right"/>
              <w:rPr>
                <w:sz w:val="20"/>
                <w:szCs w:val="20"/>
              </w:rPr>
            </w:pPr>
            <w:r w:rsidRPr="00A668C2">
              <w:rPr>
                <w:sz w:val="20"/>
                <w:szCs w:val="20"/>
              </w:rPr>
              <w:t>74</w:t>
            </w:r>
          </w:p>
        </w:tc>
        <w:tc>
          <w:tcPr>
            <w:tcW w:w="960" w:type="dxa"/>
            <w:tcBorders>
              <w:top w:val="nil"/>
              <w:left w:val="nil"/>
              <w:bottom w:val="nil"/>
              <w:right w:val="nil"/>
            </w:tcBorders>
            <w:shd w:val="clear" w:color="auto" w:fill="auto"/>
            <w:noWrap/>
            <w:vAlign w:val="bottom"/>
            <w:hideMark/>
          </w:tcPr>
          <w:p w14:paraId="38B580E1" w14:textId="77777777" w:rsidR="00A668C2" w:rsidRPr="00A668C2" w:rsidRDefault="00A668C2" w:rsidP="00A668C2">
            <w:pPr>
              <w:tabs>
                <w:tab w:val="clear" w:pos="284"/>
              </w:tabs>
              <w:spacing w:after="0" w:line="240" w:lineRule="auto"/>
              <w:jc w:val="right"/>
              <w:rPr>
                <w:sz w:val="20"/>
                <w:szCs w:val="20"/>
              </w:rPr>
            </w:pPr>
            <w:r w:rsidRPr="00A668C2">
              <w:rPr>
                <w:sz w:val="20"/>
                <w:szCs w:val="20"/>
              </w:rPr>
              <w:t>44</w:t>
            </w:r>
          </w:p>
        </w:tc>
        <w:tc>
          <w:tcPr>
            <w:tcW w:w="960" w:type="dxa"/>
            <w:tcBorders>
              <w:top w:val="nil"/>
              <w:left w:val="nil"/>
              <w:bottom w:val="nil"/>
              <w:right w:val="nil"/>
            </w:tcBorders>
            <w:shd w:val="clear" w:color="auto" w:fill="auto"/>
            <w:noWrap/>
            <w:vAlign w:val="bottom"/>
            <w:hideMark/>
          </w:tcPr>
          <w:p w14:paraId="261E10E8" w14:textId="77777777" w:rsidR="00A668C2" w:rsidRPr="00A668C2" w:rsidRDefault="00A668C2" w:rsidP="00A668C2">
            <w:pPr>
              <w:tabs>
                <w:tab w:val="clear" w:pos="284"/>
              </w:tabs>
              <w:spacing w:after="0" w:line="240" w:lineRule="auto"/>
              <w:jc w:val="right"/>
              <w:rPr>
                <w:sz w:val="20"/>
                <w:szCs w:val="20"/>
              </w:rPr>
            </w:pPr>
            <w:r w:rsidRPr="00A668C2">
              <w:rPr>
                <w:sz w:val="20"/>
                <w:szCs w:val="20"/>
              </w:rPr>
              <w:t>40</w:t>
            </w:r>
          </w:p>
        </w:tc>
        <w:tc>
          <w:tcPr>
            <w:tcW w:w="960" w:type="dxa"/>
            <w:tcBorders>
              <w:top w:val="nil"/>
              <w:left w:val="nil"/>
              <w:bottom w:val="nil"/>
              <w:right w:val="nil"/>
            </w:tcBorders>
            <w:shd w:val="clear" w:color="auto" w:fill="auto"/>
            <w:noWrap/>
            <w:vAlign w:val="bottom"/>
            <w:hideMark/>
          </w:tcPr>
          <w:p w14:paraId="6A7B4D99" w14:textId="77777777" w:rsidR="00A668C2" w:rsidRPr="00A668C2" w:rsidRDefault="00A668C2" w:rsidP="00A668C2">
            <w:pPr>
              <w:tabs>
                <w:tab w:val="clear" w:pos="284"/>
              </w:tabs>
              <w:spacing w:after="0" w:line="240" w:lineRule="auto"/>
              <w:jc w:val="right"/>
              <w:rPr>
                <w:sz w:val="20"/>
                <w:szCs w:val="20"/>
              </w:rPr>
            </w:pPr>
            <w:r w:rsidRPr="00A668C2">
              <w:rPr>
                <w:sz w:val="20"/>
                <w:szCs w:val="20"/>
              </w:rPr>
              <w:t>71</w:t>
            </w:r>
          </w:p>
        </w:tc>
        <w:tc>
          <w:tcPr>
            <w:tcW w:w="960" w:type="dxa"/>
            <w:tcBorders>
              <w:top w:val="nil"/>
              <w:left w:val="nil"/>
              <w:bottom w:val="nil"/>
              <w:right w:val="nil"/>
            </w:tcBorders>
            <w:shd w:val="clear" w:color="auto" w:fill="auto"/>
            <w:noWrap/>
            <w:vAlign w:val="bottom"/>
            <w:hideMark/>
          </w:tcPr>
          <w:p w14:paraId="175CE510" w14:textId="77777777" w:rsidR="00A668C2" w:rsidRPr="00A668C2" w:rsidRDefault="00A668C2" w:rsidP="00A668C2">
            <w:pPr>
              <w:tabs>
                <w:tab w:val="clear" w:pos="284"/>
              </w:tabs>
              <w:spacing w:after="0" w:line="240" w:lineRule="auto"/>
              <w:jc w:val="right"/>
              <w:rPr>
                <w:sz w:val="20"/>
                <w:szCs w:val="20"/>
              </w:rPr>
            </w:pPr>
            <w:r w:rsidRPr="00A668C2">
              <w:rPr>
                <w:sz w:val="20"/>
                <w:szCs w:val="20"/>
              </w:rPr>
              <w:t>63</w:t>
            </w:r>
          </w:p>
        </w:tc>
        <w:tc>
          <w:tcPr>
            <w:tcW w:w="960" w:type="dxa"/>
            <w:tcBorders>
              <w:top w:val="nil"/>
              <w:left w:val="nil"/>
              <w:bottom w:val="nil"/>
              <w:right w:val="nil"/>
            </w:tcBorders>
            <w:shd w:val="clear" w:color="auto" w:fill="auto"/>
            <w:noWrap/>
            <w:vAlign w:val="bottom"/>
            <w:hideMark/>
          </w:tcPr>
          <w:p w14:paraId="61CC61AA" w14:textId="77777777" w:rsidR="00A668C2" w:rsidRPr="00A668C2" w:rsidRDefault="00A668C2" w:rsidP="00A668C2">
            <w:pPr>
              <w:tabs>
                <w:tab w:val="clear" w:pos="284"/>
              </w:tabs>
              <w:spacing w:after="0" w:line="240" w:lineRule="auto"/>
              <w:jc w:val="right"/>
              <w:rPr>
                <w:sz w:val="20"/>
                <w:szCs w:val="20"/>
              </w:rPr>
            </w:pPr>
            <w:r w:rsidRPr="00A668C2">
              <w:rPr>
                <w:sz w:val="20"/>
                <w:szCs w:val="20"/>
              </w:rPr>
              <w:t>62</w:t>
            </w:r>
          </w:p>
        </w:tc>
      </w:tr>
      <w:tr w:rsidR="00A668C2" w:rsidRPr="00A668C2" w14:paraId="70BA6ED4" w14:textId="77777777" w:rsidTr="006667F3">
        <w:trPr>
          <w:trHeight w:val="255"/>
        </w:trPr>
        <w:tc>
          <w:tcPr>
            <w:tcW w:w="1701" w:type="dxa"/>
            <w:tcBorders>
              <w:top w:val="nil"/>
              <w:left w:val="nil"/>
              <w:bottom w:val="nil"/>
              <w:right w:val="nil"/>
            </w:tcBorders>
            <w:shd w:val="clear" w:color="auto" w:fill="auto"/>
            <w:noWrap/>
            <w:vAlign w:val="bottom"/>
            <w:hideMark/>
          </w:tcPr>
          <w:p w14:paraId="371A90DD" w14:textId="77777777" w:rsidR="00A668C2" w:rsidRPr="00A668C2" w:rsidRDefault="00A668C2" w:rsidP="00A668C2">
            <w:pPr>
              <w:tabs>
                <w:tab w:val="clear" w:pos="284"/>
              </w:tabs>
              <w:spacing w:after="0" w:line="240" w:lineRule="auto"/>
              <w:rPr>
                <w:sz w:val="20"/>
                <w:szCs w:val="20"/>
              </w:rPr>
            </w:pPr>
            <w:r w:rsidRPr="00A668C2">
              <w:rPr>
                <w:sz w:val="20"/>
                <w:szCs w:val="20"/>
              </w:rPr>
              <w:t>Poland</w:t>
            </w:r>
          </w:p>
        </w:tc>
        <w:tc>
          <w:tcPr>
            <w:tcW w:w="639" w:type="dxa"/>
            <w:tcBorders>
              <w:top w:val="nil"/>
              <w:left w:val="nil"/>
              <w:bottom w:val="nil"/>
              <w:right w:val="nil"/>
            </w:tcBorders>
            <w:shd w:val="clear" w:color="auto" w:fill="auto"/>
            <w:noWrap/>
            <w:vAlign w:val="bottom"/>
            <w:hideMark/>
          </w:tcPr>
          <w:p w14:paraId="11343E63" w14:textId="77777777" w:rsidR="00A668C2" w:rsidRPr="00A668C2" w:rsidRDefault="00A668C2" w:rsidP="006667F3">
            <w:pPr>
              <w:tabs>
                <w:tab w:val="clear" w:pos="284"/>
              </w:tabs>
              <w:spacing w:after="0" w:line="240" w:lineRule="auto"/>
              <w:jc w:val="right"/>
              <w:rPr>
                <w:sz w:val="20"/>
                <w:szCs w:val="20"/>
              </w:rPr>
            </w:pPr>
            <w:r w:rsidRPr="00A668C2">
              <w:rPr>
                <w:sz w:val="20"/>
                <w:szCs w:val="20"/>
              </w:rPr>
              <w:t>..</w:t>
            </w:r>
          </w:p>
        </w:tc>
        <w:tc>
          <w:tcPr>
            <w:tcW w:w="960" w:type="dxa"/>
            <w:tcBorders>
              <w:top w:val="nil"/>
              <w:left w:val="nil"/>
              <w:bottom w:val="nil"/>
              <w:right w:val="nil"/>
            </w:tcBorders>
            <w:shd w:val="clear" w:color="auto" w:fill="auto"/>
            <w:noWrap/>
            <w:vAlign w:val="bottom"/>
            <w:hideMark/>
          </w:tcPr>
          <w:p w14:paraId="1C4A161D" w14:textId="77777777" w:rsidR="00A668C2" w:rsidRPr="00A668C2" w:rsidRDefault="00A668C2" w:rsidP="006667F3">
            <w:pPr>
              <w:tabs>
                <w:tab w:val="clear" w:pos="284"/>
              </w:tabs>
              <w:spacing w:after="0" w:line="240" w:lineRule="auto"/>
              <w:jc w:val="right"/>
              <w:rPr>
                <w:sz w:val="20"/>
                <w:szCs w:val="20"/>
              </w:rPr>
            </w:pPr>
            <w:r w:rsidRPr="00A668C2">
              <w:rPr>
                <w:sz w:val="20"/>
                <w:szCs w:val="20"/>
              </w:rPr>
              <w:t>..</w:t>
            </w:r>
          </w:p>
        </w:tc>
        <w:tc>
          <w:tcPr>
            <w:tcW w:w="960" w:type="dxa"/>
            <w:tcBorders>
              <w:top w:val="nil"/>
              <w:left w:val="nil"/>
              <w:bottom w:val="nil"/>
              <w:right w:val="nil"/>
            </w:tcBorders>
            <w:shd w:val="clear" w:color="auto" w:fill="auto"/>
            <w:noWrap/>
            <w:vAlign w:val="bottom"/>
            <w:hideMark/>
          </w:tcPr>
          <w:p w14:paraId="613F0836" w14:textId="77777777" w:rsidR="00A668C2" w:rsidRPr="00A668C2" w:rsidRDefault="00A668C2" w:rsidP="00A668C2">
            <w:pPr>
              <w:tabs>
                <w:tab w:val="clear" w:pos="284"/>
              </w:tabs>
              <w:spacing w:after="0" w:line="240" w:lineRule="auto"/>
              <w:jc w:val="right"/>
              <w:rPr>
                <w:sz w:val="20"/>
                <w:szCs w:val="20"/>
              </w:rPr>
            </w:pPr>
            <w:r w:rsidRPr="00A668C2">
              <w:rPr>
                <w:sz w:val="20"/>
                <w:szCs w:val="20"/>
              </w:rPr>
              <w:t>24</w:t>
            </w:r>
          </w:p>
        </w:tc>
        <w:tc>
          <w:tcPr>
            <w:tcW w:w="960" w:type="dxa"/>
            <w:tcBorders>
              <w:top w:val="nil"/>
              <w:left w:val="nil"/>
              <w:bottom w:val="nil"/>
              <w:right w:val="nil"/>
            </w:tcBorders>
            <w:shd w:val="clear" w:color="auto" w:fill="auto"/>
            <w:noWrap/>
            <w:vAlign w:val="bottom"/>
            <w:hideMark/>
          </w:tcPr>
          <w:p w14:paraId="4A2AE9DD" w14:textId="77777777" w:rsidR="00A668C2" w:rsidRPr="00A668C2" w:rsidRDefault="00A668C2" w:rsidP="00A668C2">
            <w:pPr>
              <w:tabs>
                <w:tab w:val="clear" w:pos="284"/>
              </w:tabs>
              <w:spacing w:after="0" w:line="240" w:lineRule="auto"/>
              <w:jc w:val="right"/>
              <w:rPr>
                <w:sz w:val="20"/>
                <w:szCs w:val="20"/>
              </w:rPr>
            </w:pPr>
            <w:r w:rsidRPr="00A668C2">
              <w:rPr>
                <w:sz w:val="20"/>
                <w:szCs w:val="20"/>
              </w:rPr>
              <w:t>21</w:t>
            </w:r>
          </w:p>
        </w:tc>
        <w:tc>
          <w:tcPr>
            <w:tcW w:w="960" w:type="dxa"/>
            <w:tcBorders>
              <w:top w:val="nil"/>
              <w:left w:val="nil"/>
              <w:bottom w:val="nil"/>
              <w:right w:val="nil"/>
            </w:tcBorders>
            <w:shd w:val="clear" w:color="auto" w:fill="auto"/>
            <w:noWrap/>
            <w:vAlign w:val="bottom"/>
            <w:hideMark/>
          </w:tcPr>
          <w:p w14:paraId="6B5AB2DA" w14:textId="77777777" w:rsidR="00A668C2" w:rsidRPr="00A668C2" w:rsidRDefault="00A668C2" w:rsidP="00A668C2">
            <w:pPr>
              <w:tabs>
                <w:tab w:val="clear" w:pos="284"/>
              </w:tabs>
              <w:spacing w:after="0" w:line="240" w:lineRule="auto"/>
              <w:jc w:val="right"/>
              <w:rPr>
                <w:sz w:val="20"/>
                <w:szCs w:val="20"/>
              </w:rPr>
            </w:pPr>
            <w:r w:rsidRPr="00A668C2">
              <w:rPr>
                <w:sz w:val="20"/>
                <w:szCs w:val="20"/>
              </w:rPr>
              <w:t>20</w:t>
            </w:r>
          </w:p>
        </w:tc>
        <w:tc>
          <w:tcPr>
            <w:tcW w:w="960" w:type="dxa"/>
            <w:tcBorders>
              <w:top w:val="nil"/>
              <w:left w:val="nil"/>
              <w:bottom w:val="nil"/>
              <w:right w:val="nil"/>
            </w:tcBorders>
            <w:shd w:val="clear" w:color="auto" w:fill="auto"/>
            <w:noWrap/>
            <w:vAlign w:val="bottom"/>
            <w:hideMark/>
          </w:tcPr>
          <w:p w14:paraId="118C40CC" w14:textId="77777777" w:rsidR="00A668C2" w:rsidRPr="00A668C2" w:rsidRDefault="00A668C2" w:rsidP="00A668C2">
            <w:pPr>
              <w:tabs>
                <w:tab w:val="clear" w:pos="284"/>
              </w:tabs>
              <w:spacing w:after="0" w:line="240" w:lineRule="auto"/>
              <w:jc w:val="right"/>
              <w:rPr>
                <w:sz w:val="20"/>
                <w:szCs w:val="20"/>
              </w:rPr>
            </w:pPr>
            <w:r w:rsidRPr="00A668C2">
              <w:rPr>
                <w:sz w:val="20"/>
                <w:szCs w:val="20"/>
              </w:rPr>
              <w:t>26</w:t>
            </w:r>
          </w:p>
        </w:tc>
        <w:tc>
          <w:tcPr>
            <w:tcW w:w="960" w:type="dxa"/>
            <w:tcBorders>
              <w:top w:val="nil"/>
              <w:left w:val="nil"/>
              <w:bottom w:val="nil"/>
              <w:right w:val="nil"/>
            </w:tcBorders>
            <w:shd w:val="clear" w:color="auto" w:fill="auto"/>
            <w:noWrap/>
            <w:vAlign w:val="bottom"/>
            <w:hideMark/>
          </w:tcPr>
          <w:p w14:paraId="4C9E7F4A" w14:textId="77777777" w:rsidR="00A668C2" w:rsidRPr="00A668C2" w:rsidRDefault="00A668C2" w:rsidP="00A668C2">
            <w:pPr>
              <w:tabs>
                <w:tab w:val="clear" w:pos="284"/>
              </w:tabs>
              <w:spacing w:after="0" w:line="240" w:lineRule="auto"/>
              <w:jc w:val="right"/>
              <w:rPr>
                <w:sz w:val="20"/>
                <w:szCs w:val="20"/>
              </w:rPr>
            </w:pPr>
            <w:r w:rsidRPr="00A668C2">
              <w:rPr>
                <w:sz w:val="20"/>
                <w:szCs w:val="20"/>
              </w:rPr>
              <w:t>29</w:t>
            </w:r>
          </w:p>
        </w:tc>
        <w:tc>
          <w:tcPr>
            <w:tcW w:w="960" w:type="dxa"/>
            <w:tcBorders>
              <w:top w:val="nil"/>
              <w:left w:val="nil"/>
              <w:bottom w:val="nil"/>
              <w:right w:val="nil"/>
            </w:tcBorders>
            <w:shd w:val="clear" w:color="auto" w:fill="auto"/>
            <w:noWrap/>
            <w:vAlign w:val="bottom"/>
            <w:hideMark/>
          </w:tcPr>
          <w:p w14:paraId="77862806" w14:textId="77777777" w:rsidR="00A668C2" w:rsidRPr="00A668C2" w:rsidRDefault="00A668C2" w:rsidP="00A668C2">
            <w:pPr>
              <w:tabs>
                <w:tab w:val="clear" w:pos="284"/>
              </w:tabs>
              <w:spacing w:after="0" w:line="240" w:lineRule="auto"/>
              <w:jc w:val="right"/>
              <w:rPr>
                <w:sz w:val="20"/>
                <w:szCs w:val="20"/>
              </w:rPr>
            </w:pPr>
            <w:r w:rsidRPr="00A668C2">
              <w:rPr>
                <w:sz w:val="20"/>
                <w:szCs w:val="20"/>
              </w:rPr>
              <w:t>30</w:t>
            </w:r>
          </w:p>
        </w:tc>
      </w:tr>
      <w:tr w:rsidR="00A668C2" w:rsidRPr="00A668C2" w14:paraId="5CC00E14" w14:textId="77777777" w:rsidTr="006667F3">
        <w:trPr>
          <w:trHeight w:val="255"/>
        </w:trPr>
        <w:tc>
          <w:tcPr>
            <w:tcW w:w="1701" w:type="dxa"/>
            <w:tcBorders>
              <w:top w:val="nil"/>
              <w:left w:val="nil"/>
              <w:bottom w:val="nil"/>
              <w:right w:val="nil"/>
            </w:tcBorders>
            <w:shd w:val="clear" w:color="auto" w:fill="auto"/>
            <w:noWrap/>
            <w:vAlign w:val="bottom"/>
            <w:hideMark/>
          </w:tcPr>
          <w:p w14:paraId="3B3AB693" w14:textId="77777777" w:rsidR="00A668C2" w:rsidRPr="00A668C2" w:rsidRDefault="00A668C2" w:rsidP="00A668C2">
            <w:pPr>
              <w:tabs>
                <w:tab w:val="clear" w:pos="284"/>
              </w:tabs>
              <w:spacing w:after="0" w:line="240" w:lineRule="auto"/>
              <w:rPr>
                <w:sz w:val="20"/>
                <w:szCs w:val="20"/>
              </w:rPr>
            </w:pPr>
            <w:r w:rsidRPr="00A668C2">
              <w:rPr>
                <w:sz w:val="20"/>
                <w:szCs w:val="20"/>
              </w:rPr>
              <w:t>Iceland</w:t>
            </w:r>
          </w:p>
        </w:tc>
        <w:tc>
          <w:tcPr>
            <w:tcW w:w="639" w:type="dxa"/>
            <w:tcBorders>
              <w:top w:val="nil"/>
              <w:left w:val="nil"/>
              <w:bottom w:val="nil"/>
              <w:right w:val="nil"/>
            </w:tcBorders>
            <w:shd w:val="clear" w:color="auto" w:fill="auto"/>
            <w:noWrap/>
            <w:vAlign w:val="bottom"/>
            <w:hideMark/>
          </w:tcPr>
          <w:p w14:paraId="567AED1C" w14:textId="77777777" w:rsidR="00A668C2" w:rsidRPr="00A668C2" w:rsidRDefault="00A668C2" w:rsidP="00A668C2">
            <w:pPr>
              <w:tabs>
                <w:tab w:val="clear" w:pos="284"/>
              </w:tabs>
              <w:spacing w:after="0" w:line="240" w:lineRule="auto"/>
              <w:jc w:val="right"/>
              <w:rPr>
                <w:sz w:val="20"/>
                <w:szCs w:val="20"/>
              </w:rPr>
            </w:pPr>
            <w:r w:rsidRPr="00A668C2">
              <w:rPr>
                <w:sz w:val="20"/>
                <w:szCs w:val="20"/>
              </w:rPr>
              <w:t>9</w:t>
            </w:r>
          </w:p>
        </w:tc>
        <w:tc>
          <w:tcPr>
            <w:tcW w:w="960" w:type="dxa"/>
            <w:tcBorders>
              <w:top w:val="nil"/>
              <w:left w:val="nil"/>
              <w:bottom w:val="nil"/>
              <w:right w:val="nil"/>
            </w:tcBorders>
            <w:shd w:val="clear" w:color="auto" w:fill="auto"/>
            <w:noWrap/>
            <w:vAlign w:val="bottom"/>
            <w:hideMark/>
          </w:tcPr>
          <w:p w14:paraId="44E71E7E" w14:textId="77777777" w:rsidR="00A668C2" w:rsidRPr="00A668C2" w:rsidRDefault="00A668C2" w:rsidP="00A668C2">
            <w:pPr>
              <w:tabs>
                <w:tab w:val="clear" w:pos="284"/>
              </w:tabs>
              <w:spacing w:after="0" w:line="240" w:lineRule="auto"/>
              <w:jc w:val="right"/>
              <w:rPr>
                <w:sz w:val="20"/>
                <w:szCs w:val="20"/>
              </w:rPr>
            </w:pPr>
            <w:r w:rsidRPr="00A668C2">
              <w:rPr>
                <w:sz w:val="20"/>
                <w:szCs w:val="20"/>
              </w:rPr>
              <w:t>9</w:t>
            </w:r>
          </w:p>
        </w:tc>
        <w:tc>
          <w:tcPr>
            <w:tcW w:w="960" w:type="dxa"/>
            <w:tcBorders>
              <w:top w:val="nil"/>
              <w:left w:val="nil"/>
              <w:bottom w:val="nil"/>
              <w:right w:val="nil"/>
            </w:tcBorders>
            <w:shd w:val="clear" w:color="auto" w:fill="auto"/>
            <w:noWrap/>
            <w:vAlign w:val="bottom"/>
            <w:hideMark/>
          </w:tcPr>
          <w:p w14:paraId="7189A103" w14:textId="77777777" w:rsidR="00A668C2" w:rsidRPr="00A668C2" w:rsidRDefault="00A668C2" w:rsidP="00A668C2">
            <w:pPr>
              <w:tabs>
                <w:tab w:val="clear" w:pos="284"/>
              </w:tabs>
              <w:spacing w:after="0" w:line="240" w:lineRule="auto"/>
              <w:jc w:val="right"/>
              <w:rPr>
                <w:sz w:val="20"/>
                <w:szCs w:val="20"/>
              </w:rPr>
            </w:pPr>
            <w:r w:rsidRPr="00A668C2">
              <w:rPr>
                <w:sz w:val="20"/>
                <w:szCs w:val="20"/>
              </w:rPr>
              <w:t>11</w:t>
            </w:r>
          </w:p>
        </w:tc>
        <w:tc>
          <w:tcPr>
            <w:tcW w:w="960" w:type="dxa"/>
            <w:tcBorders>
              <w:top w:val="nil"/>
              <w:left w:val="nil"/>
              <w:bottom w:val="nil"/>
              <w:right w:val="nil"/>
            </w:tcBorders>
            <w:shd w:val="clear" w:color="auto" w:fill="auto"/>
            <w:noWrap/>
            <w:vAlign w:val="bottom"/>
            <w:hideMark/>
          </w:tcPr>
          <w:p w14:paraId="47F2D6BE" w14:textId="77777777" w:rsidR="00A668C2" w:rsidRPr="00A668C2" w:rsidRDefault="00A668C2" w:rsidP="00A668C2">
            <w:pPr>
              <w:tabs>
                <w:tab w:val="clear" w:pos="284"/>
              </w:tabs>
              <w:spacing w:after="0" w:line="240" w:lineRule="auto"/>
              <w:jc w:val="right"/>
              <w:rPr>
                <w:sz w:val="20"/>
                <w:szCs w:val="20"/>
              </w:rPr>
            </w:pPr>
            <w:r w:rsidRPr="00A668C2">
              <w:rPr>
                <w:sz w:val="20"/>
                <w:szCs w:val="20"/>
              </w:rPr>
              <w:t>11</w:t>
            </w:r>
          </w:p>
        </w:tc>
        <w:tc>
          <w:tcPr>
            <w:tcW w:w="960" w:type="dxa"/>
            <w:tcBorders>
              <w:top w:val="nil"/>
              <w:left w:val="nil"/>
              <w:bottom w:val="nil"/>
              <w:right w:val="nil"/>
            </w:tcBorders>
            <w:shd w:val="clear" w:color="auto" w:fill="auto"/>
            <w:noWrap/>
            <w:vAlign w:val="bottom"/>
            <w:hideMark/>
          </w:tcPr>
          <w:p w14:paraId="4A250B2B" w14:textId="77777777" w:rsidR="00A668C2" w:rsidRPr="00A668C2" w:rsidRDefault="00A668C2" w:rsidP="00A668C2">
            <w:pPr>
              <w:tabs>
                <w:tab w:val="clear" w:pos="284"/>
              </w:tabs>
              <w:spacing w:after="0" w:line="240" w:lineRule="auto"/>
              <w:jc w:val="right"/>
              <w:rPr>
                <w:sz w:val="20"/>
                <w:szCs w:val="20"/>
              </w:rPr>
            </w:pPr>
            <w:r w:rsidRPr="00A668C2">
              <w:rPr>
                <w:sz w:val="20"/>
                <w:szCs w:val="20"/>
              </w:rPr>
              <w:t>11</w:t>
            </w:r>
          </w:p>
        </w:tc>
        <w:tc>
          <w:tcPr>
            <w:tcW w:w="960" w:type="dxa"/>
            <w:tcBorders>
              <w:top w:val="nil"/>
              <w:left w:val="nil"/>
              <w:bottom w:val="nil"/>
              <w:right w:val="nil"/>
            </w:tcBorders>
            <w:shd w:val="clear" w:color="auto" w:fill="auto"/>
            <w:noWrap/>
            <w:vAlign w:val="bottom"/>
            <w:hideMark/>
          </w:tcPr>
          <w:p w14:paraId="0A2A49CA" w14:textId="77777777" w:rsidR="00A668C2" w:rsidRPr="00A668C2" w:rsidRDefault="00A668C2" w:rsidP="00A668C2">
            <w:pPr>
              <w:tabs>
                <w:tab w:val="clear" w:pos="284"/>
              </w:tabs>
              <w:spacing w:after="0" w:line="240" w:lineRule="auto"/>
              <w:jc w:val="right"/>
              <w:rPr>
                <w:sz w:val="20"/>
                <w:szCs w:val="20"/>
              </w:rPr>
            </w:pPr>
            <w:r w:rsidRPr="00A668C2">
              <w:rPr>
                <w:sz w:val="20"/>
                <w:szCs w:val="20"/>
              </w:rPr>
              <w:t>14</w:t>
            </w:r>
          </w:p>
        </w:tc>
        <w:tc>
          <w:tcPr>
            <w:tcW w:w="960" w:type="dxa"/>
            <w:tcBorders>
              <w:top w:val="nil"/>
              <w:left w:val="nil"/>
              <w:bottom w:val="nil"/>
              <w:right w:val="nil"/>
            </w:tcBorders>
            <w:shd w:val="clear" w:color="auto" w:fill="auto"/>
            <w:noWrap/>
            <w:vAlign w:val="bottom"/>
            <w:hideMark/>
          </w:tcPr>
          <w:p w14:paraId="135D83B5" w14:textId="77777777" w:rsidR="00A668C2" w:rsidRPr="00A668C2" w:rsidRDefault="00A668C2" w:rsidP="00A668C2">
            <w:pPr>
              <w:tabs>
                <w:tab w:val="clear" w:pos="284"/>
              </w:tabs>
              <w:spacing w:after="0" w:line="240" w:lineRule="auto"/>
              <w:jc w:val="right"/>
              <w:rPr>
                <w:sz w:val="20"/>
                <w:szCs w:val="20"/>
              </w:rPr>
            </w:pPr>
            <w:r w:rsidRPr="00A668C2">
              <w:rPr>
                <w:sz w:val="20"/>
                <w:szCs w:val="20"/>
              </w:rPr>
              <w:t>19</w:t>
            </w:r>
          </w:p>
        </w:tc>
        <w:tc>
          <w:tcPr>
            <w:tcW w:w="960" w:type="dxa"/>
            <w:tcBorders>
              <w:top w:val="nil"/>
              <w:left w:val="nil"/>
              <w:bottom w:val="nil"/>
              <w:right w:val="nil"/>
            </w:tcBorders>
            <w:shd w:val="clear" w:color="auto" w:fill="auto"/>
            <w:noWrap/>
            <w:vAlign w:val="bottom"/>
            <w:hideMark/>
          </w:tcPr>
          <w:p w14:paraId="05926883" w14:textId="77777777" w:rsidR="00A668C2" w:rsidRPr="00A668C2" w:rsidRDefault="00A668C2" w:rsidP="00A668C2">
            <w:pPr>
              <w:tabs>
                <w:tab w:val="clear" w:pos="284"/>
              </w:tabs>
              <w:spacing w:after="0" w:line="240" w:lineRule="auto"/>
              <w:jc w:val="right"/>
              <w:rPr>
                <w:sz w:val="20"/>
                <w:szCs w:val="20"/>
              </w:rPr>
            </w:pPr>
            <w:r w:rsidRPr="00A668C2">
              <w:rPr>
                <w:sz w:val="20"/>
                <w:szCs w:val="20"/>
              </w:rPr>
              <w:t>26</w:t>
            </w:r>
          </w:p>
        </w:tc>
      </w:tr>
      <w:tr w:rsidR="00A668C2" w:rsidRPr="00A668C2" w14:paraId="0C00D0BC" w14:textId="77777777" w:rsidTr="006667F3">
        <w:trPr>
          <w:trHeight w:val="255"/>
        </w:trPr>
        <w:tc>
          <w:tcPr>
            <w:tcW w:w="1701" w:type="dxa"/>
            <w:tcBorders>
              <w:top w:val="nil"/>
              <w:left w:val="nil"/>
              <w:bottom w:val="nil"/>
              <w:right w:val="nil"/>
            </w:tcBorders>
            <w:shd w:val="clear" w:color="auto" w:fill="auto"/>
            <w:noWrap/>
            <w:vAlign w:val="bottom"/>
            <w:hideMark/>
          </w:tcPr>
          <w:p w14:paraId="4EE900B6" w14:textId="77777777" w:rsidR="00A668C2" w:rsidRPr="00A668C2" w:rsidRDefault="00A668C2" w:rsidP="00A668C2">
            <w:pPr>
              <w:tabs>
                <w:tab w:val="clear" w:pos="284"/>
              </w:tabs>
              <w:spacing w:after="0" w:line="240" w:lineRule="auto"/>
              <w:rPr>
                <w:sz w:val="20"/>
                <w:szCs w:val="20"/>
              </w:rPr>
            </w:pPr>
            <w:r w:rsidRPr="00A668C2">
              <w:rPr>
                <w:sz w:val="20"/>
                <w:szCs w:val="20"/>
              </w:rPr>
              <w:t>Hungary</w:t>
            </w:r>
          </w:p>
        </w:tc>
        <w:tc>
          <w:tcPr>
            <w:tcW w:w="639" w:type="dxa"/>
            <w:tcBorders>
              <w:top w:val="nil"/>
              <w:left w:val="nil"/>
              <w:bottom w:val="nil"/>
              <w:right w:val="nil"/>
            </w:tcBorders>
            <w:shd w:val="clear" w:color="auto" w:fill="auto"/>
            <w:noWrap/>
            <w:vAlign w:val="bottom"/>
            <w:hideMark/>
          </w:tcPr>
          <w:p w14:paraId="5BCD3216" w14:textId="77777777" w:rsidR="00A668C2" w:rsidRPr="00A668C2" w:rsidRDefault="00A668C2" w:rsidP="006667F3">
            <w:pPr>
              <w:tabs>
                <w:tab w:val="clear" w:pos="284"/>
              </w:tabs>
              <w:spacing w:after="0" w:line="240" w:lineRule="auto"/>
              <w:jc w:val="right"/>
              <w:rPr>
                <w:sz w:val="20"/>
                <w:szCs w:val="20"/>
              </w:rPr>
            </w:pPr>
            <w:r w:rsidRPr="00A668C2">
              <w:rPr>
                <w:sz w:val="20"/>
                <w:szCs w:val="20"/>
              </w:rPr>
              <w:t>..</w:t>
            </w:r>
          </w:p>
        </w:tc>
        <w:tc>
          <w:tcPr>
            <w:tcW w:w="960" w:type="dxa"/>
            <w:tcBorders>
              <w:top w:val="nil"/>
              <w:left w:val="nil"/>
              <w:bottom w:val="nil"/>
              <w:right w:val="nil"/>
            </w:tcBorders>
            <w:shd w:val="clear" w:color="auto" w:fill="auto"/>
            <w:noWrap/>
            <w:vAlign w:val="bottom"/>
            <w:hideMark/>
          </w:tcPr>
          <w:p w14:paraId="6A076C60" w14:textId="77777777" w:rsidR="00A668C2" w:rsidRPr="00A668C2" w:rsidRDefault="00A668C2" w:rsidP="006667F3">
            <w:pPr>
              <w:tabs>
                <w:tab w:val="clear" w:pos="284"/>
              </w:tabs>
              <w:spacing w:after="0" w:line="240" w:lineRule="auto"/>
              <w:jc w:val="right"/>
              <w:rPr>
                <w:sz w:val="20"/>
                <w:szCs w:val="20"/>
              </w:rPr>
            </w:pPr>
            <w:r w:rsidRPr="00A668C2">
              <w:rPr>
                <w:sz w:val="20"/>
                <w:szCs w:val="20"/>
              </w:rPr>
              <w:t>..</w:t>
            </w:r>
          </w:p>
        </w:tc>
        <w:tc>
          <w:tcPr>
            <w:tcW w:w="960" w:type="dxa"/>
            <w:tcBorders>
              <w:top w:val="nil"/>
              <w:left w:val="nil"/>
              <w:bottom w:val="nil"/>
              <w:right w:val="nil"/>
            </w:tcBorders>
            <w:shd w:val="clear" w:color="auto" w:fill="auto"/>
            <w:noWrap/>
            <w:vAlign w:val="bottom"/>
            <w:hideMark/>
          </w:tcPr>
          <w:p w14:paraId="39D59EC7" w14:textId="77777777" w:rsidR="00A668C2" w:rsidRPr="00A668C2" w:rsidRDefault="00A668C2" w:rsidP="006667F3">
            <w:pPr>
              <w:tabs>
                <w:tab w:val="clear" w:pos="284"/>
              </w:tabs>
              <w:spacing w:after="0" w:line="240" w:lineRule="auto"/>
              <w:jc w:val="right"/>
              <w:rPr>
                <w:sz w:val="20"/>
                <w:szCs w:val="20"/>
              </w:rPr>
            </w:pPr>
            <w:r w:rsidRPr="00A668C2">
              <w:rPr>
                <w:sz w:val="20"/>
                <w:szCs w:val="20"/>
              </w:rPr>
              <w:t>..</w:t>
            </w:r>
          </w:p>
        </w:tc>
        <w:tc>
          <w:tcPr>
            <w:tcW w:w="960" w:type="dxa"/>
            <w:tcBorders>
              <w:top w:val="nil"/>
              <w:left w:val="nil"/>
              <w:bottom w:val="nil"/>
              <w:right w:val="nil"/>
            </w:tcBorders>
            <w:shd w:val="clear" w:color="auto" w:fill="auto"/>
            <w:noWrap/>
            <w:vAlign w:val="bottom"/>
            <w:hideMark/>
          </w:tcPr>
          <w:p w14:paraId="53391474" w14:textId="77777777" w:rsidR="00A668C2" w:rsidRPr="00A668C2" w:rsidRDefault="00A668C2" w:rsidP="00A668C2">
            <w:pPr>
              <w:tabs>
                <w:tab w:val="clear" w:pos="284"/>
              </w:tabs>
              <w:spacing w:after="0" w:line="240" w:lineRule="auto"/>
              <w:jc w:val="right"/>
              <w:rPr>
                <w:sz w:val="20"/>
                <w:szCs w:val="20"/>
              </w:rPr>
            </w:pPr>
            <w:r w:rsidRPr="00A668C2">
              <w:rPr>
                <w:sz w:val="20"/>
                <w:szCs w:val="20"/>
              </w:rPr>
              <w:t>7</w:t>
            </w:r>
          </w:p>
        </w:tc>
        <w:tc>
          <w:tcPr>
            <w:tcW w:w="960" w:type="dxa"/>
            <w:tcBorders>
              <w:top w:val="nil"/>
              <w:left w:val="nil"/>
              <w:bottom w:val="nil"/>
              <w:right w:val="nil"/>
            </w:tcBorders>
            <w:shd w:val="clear" w:color="auto" w:fill="auto"/>
            <w:noWrap/>
            <w:vAlign w:val="bottom"/>
            <w:hideMark/>
          </w:tcPr>
          <w:p w14:paraId="4FD29003" w14:textId="77777777" w:rsidR="00A668C2" w:rsidRPr="00A668C2" w:rsidRDefault="00A668C2" w:rsidP="00A668C2">
            <w:pPr>
              <w:tabs>
                <w:tab w:val="clear" w:pos="284"/>
              </w:tabs>
              <w:spacing w:after="0" w:line="240" w:lineRule="auto"/>
              <w:jc w:val="right"/>
              <w:rPr>
                <w:sz w:val="20"/>
                <w:szCs w:val="20"/>
              </w:rPr>
            </w:pPr>
            <w:r w:rsidRPr="00A668C2">
              <w:rPr>
                <w:sz w:val="20"/>
                <w:szCs w:val="20"/>
              </w:rPr>
              <w:t>8</w:t>
            </w:r>
          </w:p>
        </w:tc>
        <w:tc>
          <w:tcPr>
            <w:tcW w:w="960" w:type="dxa"/>
            <w:tcBorders>
              <w:top w:val="nil"/>
              <w:left w:val="nil"/>
              <w:bottom w:val="nil"/>
              <w:right w:val="nil"/>
            </w:tcBorders>
            <w:shd w:val="clear" w:color="auto" w:fill="auto"/>
            <w:noWrap/>
            <w:vAlign w:val="bottom"/>
            <w:hideMark/>
          </w:tcPr>
          <w:p w14:paraId="5BEBB62E" w14:textId="77777777" w:rsidR="00A668C2" w:rsidRPr="00A668C2" w:rsidRDefault="00A668C2" w:rsidP="00A668C2">
            <w:pPr>
              <w:tabs>
                <w:tab w:val="clear" w:pos="284"/>
              </w:tabs>
              <w:spacing w:after="0" w:line="240" w:lineRule="auto"/>
              <w:jc w:val="right"/>
              <w:rPr>
                <w:sz w:val="20"/>
                <w:szCs w:val="20"/>
              </w:rPr>
            </w:pPr>
            <w:r w:rsidRPr="00A668C2">
              <w:rPr>
                <w:sz w:val="20"/>
                <w:szCs w:val="20"/>
              </w:rPr>
              <w:t>7</w:t>
            </w:r>
          </w:p>
        </w:tc>
        <w:tc>
          <w:tcPr>
            <w:tcW w:w="960" w:type="dxa"/>
            <w:tcBorders>
              <w:top w:val="nil"/>
              <w:left w:val="nil"/>
              <w:bottom w:val="nil"/>
              <w:right w:val="nil"/>
            </w:tcBorders>
            <w:shd w:val="clear" w:color="auto" w:fill="auto"/>
            <w:noWrap/>
            <w:vAlign w:val="bottom"/>
            <w:hideMark/>
          </w:tcPr>
          <w:p w14:paraId="7CB8DC8C" w14:textId="77777777" w:rsidR="00A668C2" w:rsidRPr="00A668C2" w:rsidRDefault="00A668C2" w:rsidP="00A668C2">
            <w:pPr>
              <w:tabs>
                <w:tab w:val="clear" w:pos="284"/>
              </w:tabs>
              <w:spacing w:after="0" w:line="240" w:lineRule="auto"/>
              <w:jc w:val="right"/>
              <w:rPr>
                <w:sz w:val="20"/>
                <w:szCs w:val="20"/>
              </w:rPr>
            </w:pPr>
            <w:r w:rsidRPr="00A668C2">
              <w:rPr>
                <w:sz w:val="20"/>
                <w:szCs w:val="20"/>
              </w:rPr>
              <w:t>10</w:t>
            </w:r>
          </w:p>
        </w:tc>
        <w:tc>
          <w:tcPr>
            <w:tcW w:w="960" w:type="dxa"/>
            <w:tcBorders>
              <w:top w:val="nil"/>
              <w:left w:val="nil"/>
              <w:bottom w:val="nil"/>
              <w:right w:val="nil"/>
            </w:tcBorders>
            <w:shd w:val="clear" w:color="auto" w:fill="auto"/>
            <w:noWrap/>
            <w:vAlign w:val="bottom"/>
            <w:hideMark/>
          </w:tcPr>
          <w:p w14:paraId="5AF1DEE5" w14:textId="77777777" w:rsidR="00A668C2" w:rsidRPr="00A668C2" w:rsidRDefault="00A668C2" w:rsidP="00A668C2">
            <w:pPr>
              <w:tabs>
                <w:tab w:val="clear" w:pos="284"/>
              </w:tabs>
              <w:spacing w:after="0" w:line="240" w:lineRule="auto"/>
              <w:jc w:val="right"/>
              <w:rPr>
                <w:sz w:val="20"/>
                <w:szCs w:val="20"/>
              </w:rPr>
            </w:pPr>
            <w:r w:rsidRPr="00A668C2">
              <w:rPr>
                <w:sz w:val="20"/>
                <w:szCs w:val="20"/>
              </w:rPr>
              <w:t>23</w:t>
            </w:r>
          </w:p>
        </w:tc>
      </w:tr>
      <w:tr w:rsidR="00A668C2" w:rsidRPr="00A668C2" w14:paraId="47563B3E" w14:textId="77777777" w:rsidTr="006667F3">
        <w:trPr>
          <w:trHeight w:val="255"/>
        </w:trPr>
        <w:tc>
          <w:tcPr>
            <w:tcW w:w="1701" w:type="dxa"/>
            <w:tcBorders>
              <w:top w:val="nil"/>
              <w:left w:val="nil"/>
              <w:bottom w:val="nil"/>
              <w:right w:val="nil"/>
            </w:tcBorders>
            <w:shd w:val="clear" w:color="auto" w:fill="auto"/>
            <w:noWrap/>
            <w:vAlign w:val="bottom"/>
            <w:hideMark/>
          </w:tcPr>
          <w:p w14:paraId="16547219" w14:textId="77777777" w:rsidR="00A668C2" w:rsidRPr="00A668C2" w:rsidRDefault="00A668C2" w:rsidP="00A668C2">
            <w:pPr>
              <w:tabs>
                <w:tab w:val="clear" w:pos="284"/>
              </w:tabs>
              <w:spacing w:after="0" w:line="240" w:lineRule="auto"/>
              <w:rPr>
                <w:sz w:val="20"/>
                <w:szCs w:val="20"/>
              </w:rPr>
            </w:pPr>
            <w:r w:rsidRPr="00A668C2">
              <w:rPr>
                <w:sz w:val="20"/>
                <w:szCs w:val="20"/>
              </w:rPr>
              <w:t>Slovak Republic</w:t>
            </w:r>
          </w:p>
        </w:tc>
        <w:tc>
          <w:tcPr>
            <w:tcW w:w="639" w:type="dxa"/>
            <w:tcBorders>
              <w:top w:val="nil"/>
              <w:left w:val="nil"/>
              <w:bottom w:val="nil"/>
              <w:right w:val="nil"/>
            </w:tcBorders>
            <w:shd w:val="clear" w:color="auto" w:fill="auto"/>
            <w:noWrap/>
            <w:vAlign w:val="bottom"/>
            <w:hideMark/>
          </w:tcPr>
          <w:p w14:paraId="40A9EC98" w14:textId="77777777" w:rsidR="00A668C2" w:rsidRPr="00A668C2" w:rsidRDefault="00A668C2" w:rsidP="006667F3">
            <w:pPr>
              <w:tabs>
                <w:tab w:val="clear" w:pos="284"/>
              </w:tabs>
              <w:spacing w:after="0" w:line="240" w:lineRule="auto"/>
              <w:jc w:val="right"/>
              <w:rPr>
                <w:sz w:val="20"/>
                <w:szCs w:val="20"/>
              </w:rPr>
            </w:pPr>
            <w:r w:rsidRPr="00A668C2">
              <w:rPr>
                <w:sz w:val="20"/>
                <w:szCs w:val="20"/>
              </w:rPr>
              <w:t>..</w:t>
            </w:r>
          </w:p>
        </w:tc>
        <w:tc>
          <w:tcPr>
            <w:tcW w:w="960" w:type="dxa"/>
            <w:tcBorders>
              <w:top w:val="nil"/>
              <w:left w:val="nil"/>
              <w:bottom w:val="nil"/>
              <w:right w:val="nil"/>
            </w:tcBorders>
            <w:shd w:val="clear" w:color="auto" w:fill="auto"/>
            <w:noWrap/>
            <w:vAlign w:val="bottom"/>
            <w:hideMark/>
          </w:tcPr>
          <w:p w14:paraId="51E64FF2" w14:textId="77777777" w:rsidR="00A668C2" w:rsidRPr="00A668C2" w:rsidRDefault="00A668C2" w:rsidP="006667F3">
            <w:pPr>
              <w:tabs>
                <w:tab w:val="clear" w:pos="284"/>
              </w:tabs>
              <w:spacing w:after="0" w:line="240" w:lineRule="auto"/>
              <w:jc w:val="right"/>
              <w:rPr>
                <w:sz w:val="20"/>
                <w:szCs w:val="20"/>
              </w:rPr>
            </w:pPr>
            <w:r w:rsidRPr="00A668C2">
              <w:rPr>
                <w:sz w:val="20"/>
                <w:szCs w:val="20"/>
              </w:rPr>
              <w:t>..</w:t>
            </w:r>
          </w:p>
        </w:tc>
        <w:tc>
          <w:tcPr>
            <w:tcW w:w="960" w:type="dxa"/>
            <w:tcBorders>
              <w:top w:val="nil"/>
              <w:left w:val="nil"/>
              <w:bottom w:val="nil"/>
              <w:right w:val="nil"/>
            </w:tcBorders>
            <w:shd w:val="clear" w:color="auto" w:fill="auto"/>
            <w:noWrap/>
            <w:vAlign w:val="bottom"/>
            <w:hideMark/>
          </w:tcPr>
          <w:p w14:paraId="0B95D0C2" w14:textId="77777777" w:rsidR="00A668C2" w:rsidRPr="00A668C2" w:rsidRDefault="00A668C2" w:rsidP="00A668C2">
            <w:pPr>
              <w:tabs>
                <w:tab w:val="clear" w:pos="284"/>
              </w:tabs>
              <w:spacing w:after="0" w:line="240" w:lineRule="auto"/>
              <w:jc w:val="right"/>
              <w:rPr>
                <w:sz w:val="20"/>
                <w:szCs w:val="20"/>
              </w:rPr>
            </w:pPr>
            <w:r w:rsidRPr="00A668C2">
              <w:rPr>
                <w:sz w:val="20"/>
                <w:szCs w:val="20"/>
              </w:rPr>
              <w:t>4</w:t>
            </w:r>
          </w:p>
        </w:tc>
        <w:tc>
          <w:tcPr>
            <w:tcW w:w="960" w:type="dxa"/>
            <w:tcBorders>
              <w:top w:val="nil"/>
              <w:left w:val="nil"/>
              <w:bottom w:val="nil"/>
              <w:right w:val="nil"/>
            </w:tcBorders>
            <w:shd w:val="clear" w:color="auto" w:fill="auto"/>
            <w:noWrap/>
            <w:vAlign w:val="bottom"/>
            <w:hideMark/>
          </w:tcPr>
          <w:p w14:paraId="0D764DCA" w14:textId="77777777" w:rsidR="00A668C2" w:rsidRPr="00A668C2" w:rsidRDefault="00A668C2" w:rsidP="00A668C2">
            <w:pPr>
              <w:tabs>
                <w:tab w:val="clear" w:pos="284"/>
              </w:tabs>
              <w:spacing w:after="0" w:line="240" w:lineRule="auto"/>
              <w:jc w:val="right"/>
              <w:rPr>
                <w:sz w:val="20"/>
                <w:szCs w:val="20"/>
              </w:rPr>
            </w:pPr>
            <w:r w:rsidRPr="00A668C2">
              <w:rPr>
                <w:sz w:val="20"/>
                <w:szCs w:val="20"/>
              </w:rPr>
              <w:t>4</w:t>
            </w:r>
          </w:p>
        </w:tc>
        <w:tc>
          <w:tcPr>
            <w:tcW w:w="960" w:type="dxa"/>
            <w:tcBorders>
              <w:top w:val="nil"/>
              <w:left w:val="nil"/>
              <w:bottom w:val="nil"/>
              <w:right w:val="nil"/>
            </w:tcBorders>
            <w:shd w:val="clear" w:color="auto" w:fill="auto"/>
            <w:noWrap/>
            <w:vAlign w:val="bottom"/>
            <w:hideMark/>
          </w:tcPr>
          <w:p w14:paraId="0E92F16A" w14:textId="77777777" w:rsidR="00A668C2" w:rsidRPr="00A668C2" w:rsidRDefault="00A668C2" w:rsidP="00A668C2">
            <w:pPr>
              <w:tabs>
                <w:tab w:val="clear" w:pos="284"/>
              </w:tabs>
              <w:spacing w:after="0" w:line="240" w:lineRule="auto"/>
              <w:jc w:val="right"/>
              <w:rPr>
                <w:sz w:val="20"/>
                <w:szCs w:val="20"/>
              </w:rPr>
            </w:pPr>
            <w:r w:rsidRPr="00A668C2">
              <w:rPr>
                <w:sz w:val="20"/>
                <w:szCs w:val="20"/>
              </w:rPr>
              <w:t>6</w:t>
            </w:r>
          </w:p>
        </w:tc>
        <w:tc>
          <w:tcPr>
            <w:tcW w:w="960" w:type="dxa"/>
            <w:tcBorders>
              <w:top w:val="nil"/>
              <w:left w:val="nil"/>
              <w:bottom w:val="nil"/>
              <w:right w:val="nil"/>
            </w:tcBorders>
            <w:shd w:val="clear" w:color="auto" w:fill="auto"/>
            <w:noWrap/>
            <w:vAlign w:val="bottom"/>
            <w:hideMark/>
          </w:tcPr>
          <w:p w14:paraId="3644175F" w14:textId="77777777" w:rsidR="00A668C2" w:rsidRPr="00A668C2" w:rsidRDefault="00A668C2" w:rsidP="00A668C2">
            <w:pPr>
              <w:tabs>
                <w:tab w:val="clear" w:pos="284"/>
              </w:tabs>
              <w:spacing w:after="0" w:line="240" w:lineRule="auto"/>
              <w:jc w:val="right"/>
              <w:rPr>
                <w:sz w:val="20"/>
                <w:szCs w:val="20"/>
              </w:rPr>
            </w:pPr>
            <w:r w:rsidRPr="00A668C2">
              <w:rPr>
                <w:sz w:val="20"/>
                <w:szCs w:val="20"/>
              </w:rPr>
              <w:t>7</w:t>
            </w:r>
          </w:p>
        </w:tc>
        <w:tc>
          <w:tcPr>
            <w:tcW w:w="960" w:type="dxa"/>
            <w:tcBorders>
              <w:top w:val="nil"/>
              <w:left w:val="nil"/>
              <w:bottom w:val="nil"/>
              <w:right w:val="nil"/>
            </w:tcBorders>
            <w:shd w:val="clear" w:color="auto" w:fill="auto"/>
            <w:noWrap/>
            <w:vAlign w:val="bottom"/>
            <w:hideMark/>
          </w:tcPr>
          <w:p w14:paraId="6D416343" w14:textId="77777777" w:rsidR="00A668C2" w:rsidRPr="00A668C2" w:rsidRDefault="00A668C2" w:rsidP="00A668C2">
            <w:pPr>
              <w:tabs>
                <w:tab w:val="clear" w:pos="284"/>
              </w:tabs>
              <w:spacing w:after="0" w:line="240" w:lineRule="auto"/>
              <w:jc w:val="right"/>
              <w:rPr>
                <w:sz w:val="20"/>
                <w:szCs w:val="20"/>
              </w:rPr>
            </w:pPr>
            <w:r w:rsidRPr="00A668C2">
              <w:rPr>
                <w:sz w:val="20"/>
                <w:szCs w:val="20"/>
              </w:rPr>
              <w:t>10</w:t>
            </w:r>
          </w:p>
        </w:tc>
        <w:tc>
          <w:tcPr>
            <w:tcW w:w="960" w:type="dxa"/>
            <w:tcBorders>
              <w:top w:val="nil"/>
              <w:left w:val="nil"/>
              <w:bottom w:val="nil"/>
              <w:right w:val="nil"/>
            </w:tcBorders>
            <w:shd w:val="clear" w:color="auto" w:fill="auto"/>
            <w:noWrap/>
            <w:vAlign w:val="bottom"/>
            <w:hideMark/>
          </w:tcPr>
          <w:p w14:paraId="0089F3AF" w14:textId="77777777" w:rsidR="00A668C2" w:rsidRPr="00A668C2" w:rsidRDefault="00A668C2" w:rsidP="00A668C2">
            <w:pPr>
              <w:tabs>
                <w:tab w:val="clear" w:pos="284"/>
              </w:tabs>
              <w:spacing w:after="0" w:line="240" w:lineRule="auto"/>
              <w:jc w:val="right"/>
              <w:rPr>
                <w:sz w:val="20"/>
                <w:szCs w:val="20"/>
              </w:rPr>
            </w:pPr>
            <w:r w:rsidRPr="00A668C2">
              <w:rPr>
                <w:sz w:val="20"/>
                <w:szCs w:val="20"/>
              </w:rPr>
              <w:t>19</w:t>
            </w:r>
          </w:p>
        </w:tc>
      </w:tr>
      <w:tr w:rsidR="00A668C2" w:rsidRPr="00A668C2" w14:paraId="216B6F7E" w14:textId="77777777" w:rsidTr="006667F3">
        <w:trPr>
          <w:trHeight w:val="255"/>
        </w:trPr>
        <w:tc>
          <w:tcPr>
            <w:tcW w:w="1701" w:type="dxa"/>
            <w:tcBorders>
              <w:top w:val="nil"/>
              <w:left w:val="nil"/>
              <w:bottom w:val="nil"/>
              <w:right w:val="nil"/>
            </w:tcBorders>
            <w:shd w:val="clear" w:color="auto" w:fill="auto"/>
            <w:noWrap/>
            <w:vAlign w:val="bottom"/>
            <w:hideMark/>
          </w:tcPr>
          <w:p w14:paraId="522B9BFB" w14:textId="77777777" w:rsidR="00A668C2" w:rsidRPr="00A668C2" w:rsidRDefault="00A668C2" w:rsidP="00A668C2">
            <w:pPr>
              <w:tabs>
                <w:tab w:val="clear" w:pos="284"/>
              </w:tabs>
              <w:spacing w:after="0" w:line="240" w:lineRule="auto"/>
              <w:rPr>
                <w:sz w:val="20"/>
                <w:szCs w:val="20"/>
              </w:rPr>
            </w:pPr>
            <w:r w:rsidRPr="00A668C2">
              <w:rPr>
                <w:sz w:val="20"/>
                <w:szCs w:val="20"/>
              </w:rPr>
              <w:t>Czech Republic</w:t>
            </w:r>
          </w:p>
        </w:tc>
        <w:tc>
          <w:tcPr>
            <w:tcW w:w="639" w:type="dxa"/>
            <w:tcBorders>
              <w:top w:val="nil"/>
              <w:left w:val="nil"/>
              <w:bottom w:val="nil"/>
              <w:right w:val="nil"/>
            </w:tcBorders>
            <w:shd w:val="clear" w:color="auto" w:fill="auto"/>
            <w:noWrap/>
            <w:vAlign w:val="bottom"/>
            <w:hideMark/>
          </w:tcPr>
          <w:p w14:paraId="6E0BC50C" w14:textId="77777777" w:rsidR="00A668C2" w:rsidRPr="00A668C2" w:rsidRDefault="00A668C2" w:rsidP="00A668C2">
            <w:pPr>
              <w:tabs>
                <w:tab w:val="clear" w:pos="284"/>
              </w:tabs>
              <w:spacing w:after="0" w:line="240" w:lineRule="auto"/>
              <w:jc w:val="right"/>
              <w:rPr>
                <w:sz w:val="20"/>
                <w:szCs w:val="20"/>
              </w:rPr>
            </w:pPr>
            <w:r w:rsidRPr="00A668C2">
              <w:rPr>
                <w:sz w:val="20"/>
                <w:szCs w:val="20"/>
              </w:rPr>
              <w:t>10</w:t>
            </w:r>
          </w:p>
        </w:tc>
        <w:tc>
          <w:tcPr>
            <w:tcW w:w="960" w:type="dxa"/>
            <w:tcBorders>
              <w:top w:val="nil"/>
              <w:left w:val="nil"/>
              <w:bottom w:val="nil"/>
              <w:right w:val="nil"/>
            </w:tcBorders>
            <w:shd w:val="clear" w:color="auto" w:fill="auto"/>
            <w:noWrap/>
            <w:vAlign w:val="bottom"/>
            <w:hideMark/>
          </w:tcPr>
          <w:p w14:paraId="54934788" w14:textId="77777777" w:rsidR="00A668C2" w:rsidRPr="00A668C2" w:rsidRDefault="00A668C2" w:rsidP="00A668C2">
            <w:pPr>
              <w:tabs>
                <w:tab w:val="clear" w:pos="284"/>
              </w:tabs>
              <w:spacing w:after="0" w:line="240" w:lineRule="auto"/>
              <w:jc w:val="right"/>
              <w:rPr>
                <w:sz w:val="20"/>
                <w:szCs w:val="20"/>
              </w:rPr>
            </w:pPr>
            <w:r w:rsidRPr="00A668C2">
              <w:rPr>
                <w:sz w:val="20"/>
                <w:szCs w:val="20"/>
              </w:rPr>
              <w:t>10</w:t>
            </w:r>
          </w:p>
        </w:tc>
        <w:tc>
          <w:tcPr>
            <w:tcW w:w="960" w:type="dxa"/>
            <w:tcBorders>
              <w:top w:val="nil"/>
              <w:left w:val="nil"/>
              <w:bottom w:val="nil"/>
              <w:right w:val="nil"/>
            </w:tcBorders>
            <w:shd w:val="clear" w:color="auto" w:fill="auto"/>
            <w:noWrap/>
            <w:vAlign w:val="bottom"/>
            <w:hideMark/>
          </w:tcPr>
          <w:p w14:paraId="312C1515" w14:textId="77777777" w:rsidR="00A668C2" w:rsidRPr="00A668C2" w:rsidRDefault="00A668C2" w:rsidP="00A668C2">
            <w:pPr>
              <w:tabs>
                <w:tab w:val="clear" w:pos="284"/>
              </w:tabs>
              <w:spacing w:after="0" w:line="240" w:lineRule="auto"/>
              <w:jc w:val="right"/>
              <w:rPr>
                <w:sz w:val="20"/>
                <w:szCs w:val="20"/>
              </w:rPr>
            </w:pPr>
            <w:r w:rsidRPr="00A668C2">
              <w:rPr>
                <w:sz w:val="20"/>
                <w:szCs w:val="20"/>
              </w:rPr>
              <w:t>12</w:t>
            </w:r>
          </w:p>
        </w:tc>
        <w:tc>
          <w:tcPr>
            <w:tcW w:w="960" w:type="dxa"/>
            <w:tcBorders>
              <w:top w:val="nil"/>
              <w:left w:val="nil"/>
              <w:bottom w:val="nil"/>
              <w:right w:val="nil"/>
            </w:tcBorders>
            <w:shd w:val="clear" w:color="auto" w:fill="auto"/>
            <w:noWrap/>
            <w:vAlign w:val="bottom"/>
            <w:hideMark/>
          </w:tcPr>
          <w:p w14:paraId="033196F5" w14:textId="77777777" w:rsidR="00A668C2" w:rsidRPr="00A668C2" w:rsidRDefault="00A668C2" w:rsidP="00A668C2">
            <w:pPr>
              <w:tabs>
                <w:tab w:val="clear" w:pos="284"/>
              </w:tabs>
              <w:spacing w:after="0" w:line="240" w:lineRule="auto"/>
              <w:jc w:val="right"/>
              <w:rPr>
                <w:sz w:val="20"/>
                <w:szCs w:val="20"/>
              </w:rPr>
            </w:pPr>
            <w:r w:rsidRPr="00A668C2">
              <w:rPr>
                <w:sz w:val="20"/>
                <w:szCs w:val="20"/>
              </w:rPr>
              <w:t>12</w:t>
            </w:r>
          </w:p>
        </w:tc>
        <w:tc>
          <w:tcPr>
            <w:tcW w:w="960" w:type="dxa"/>
            <w:tcBorders>
              <w:top w:val="nil"/>
              <w:left w:val="nil"/>
              <w:bottom w:val="nil"/>
              <w:right w:val="nil"/>
            </w:tcBorders>
            <w:shd w:val="clear" w:color="auto" w:fill="auto"/>
            <w:noWrap/>
            <w:vAlign w:val="bottom"/>
            <w:hideMark/>
          </w:tcPr>
          <w:p w14:paraId="2078DDB1" w14:textId="77777777" w:rsidR="00A668C2" w:rsidRPr="00A668C2" w:rsidRDefault="00A668C2" w:rsidP="00A668C2">
            <w:pPr>
              <w:tabs>
                <w:tab w:val="clear" w:pos="284"/>
              </w:tabs>
              <w:spacing w:after="0" w:line="240" w:lineRule="auto"/>
              <w:jc w:val="right"/>
              <w:rPr>
                <w:sz w:val="20"/>
                <w:szCs w:val="20"/>
              </w:rPr>
            </w:pPr>
            <w:r w:rsidRPr="00A668C2">
              <w:rPr>
                <w:sz w:val="20"/>
                <w:szCs w:val="20"/>
              </w:rPr>
              <w:t>16</w:t>
            </w:r>
          </w:p>
        </w:tc>
        <w:tc>
          <w:tcPr>
            <w:tcW w:w="960" w:type="dxa"/>
            <w:tcBorders>
              <w:top w:val="nil"/>
              <w:left w:val="nil"/>
              <w:bottom w:val="nil"/>
              <w:right w:val="nil"/>
            </w:tcBorders>
            <w:shd w:val="clear" w:color="auto" w:fill="auto"/>
            <w:noWrap/>
            <w:vAlign w:val="bottom"/>
            <w:hideMark/>
          </w:tcPr>
          <w:p w14:paraId="57DD9AFB" w14:textId="77777777" w:rsidR="00A668C2" w:rsidRPr="00A668C2" w:rsidRDefault="00A668C2" w:rsidP="00A668C2">
            <w:pPr>
              <w:tabs>
                <w:tab w:val="clear" w:pos="284"/>
              </w:tabs>
              <w:spacing w:after="0" w:line="240" w:lineRule="auto"/>
              <w:jc w:val="right"/>
              <w:rPr>
                <w:sz w:val="20"/>
                <w:szCs w:val="20"/>
              </w:rPr>
            </w:pPr>
            <w:r w:rsidRPr="00A668C2">
              <w:rPr>
                <w:sz w:val="20"/>
                <w:szCs w:val="20"/>
              </w:rPr>
              <w:t>17</w:t>
            </w:r>
          </w:p>
        </w:tc>
        <w:tc>
          <w:tcPr>
            <w:tcW w:w="960" w:type="dxa"/>
            <w:tcBorders>
              <w:top w:val="nil"/>
              <w:left w:val="nil"/>
              <w:bottom w:val="nil"/>
              <w:right w:val="nil"/>
            </w:tcBorders>
            <w:shd w:val="clear" w:color="auto" w:fill="auto"/>
            <w:noWrap/>
            <w:vAlign w:val="bottom"/>
            <w:hideMark/>
          </w:tcPr>
          <w:p w14:paraId="6B8F6B31" w14:textId="77777777" w:rsidR="00A668C2" w:rsidRPr="00A668C2" w:rsidRDefault="00A668C2" w:rsidP="00A668C2">
            <w:pPr>
              <w:tabs>
                <w:tab w:val="clear" w:pos="284"/>
              </w:tabs>
              <w:spacing w:after="0" w:line="240" w:lineRule="auto"/>
              <w:jc w:val="right"/>
              <w:rPr>
                <w:sz w:val="20"/>
                <w:szCs w:val="20"/>
              </w:rPr>
            </w:pPr>
            <w:r w:rsidRPr="00A668C2">
              <w:rPr>
                <w:sz w:val="20"/>
                <w:szCs w:val="20"/>
              </w:rPr>
              <w:t>47</w:t>
            </w:r>
          </w:p>
        </w:tc>
        <w:tc>
          <w:tcPr>
            <w:tcW w:w="960" w:type="dxa"/>
            <w:tcBorders>
              <w:top w:val="nil"/>
              <w:left w:val="nil"/>
              <w:bottom w:val="nil"/>
              <w:right w:val="nil"/>
            </w:tcBorders>
            <w:shd w:val="clear" w:color="auto" w:fill="auto"/>
            <w:noWrap/>
            <w:vAlign w:val="bottom"/>
            <w:hideMark/>
          </w:tcPr>
          <w:p w14:paraId="78103919" w14:textId="77777777" w:rsidR="00A668C2" w:rsidRPr="00A668C2" w:rsidRDefault="00A668C2" w:rsidP="00A668C2">
            <w:pPr>
              <w:tabs>
                <w:tab w:val="clear" w:pos="284"/>
              </w:tabs>
              <w:spacing w:after="0" w:line="240" w:lineRule="auto"/>
              <w:jc w:val="right"/>
              <w:rPr>
                <w:sz w:val="20"/>
                <w:szCs w:val="20"/>
              </w:rPr>
            </w:pPr>
            <w:r w:rsidRPr="00A668C2">
              <w:rPr>
                <w:sz w:val="20"/>
                <w:szCs w:val="20"/>
              </w:rPr>
              <w:t>18</w:t>
            </w:r>
          </w:p>
        </w:tc>
      </w:tr>
      <w:tr w:rsidR="00A668C2" w:rsidRPr="00A668C2" w14:paraId="2274D3DD" w14:textId="77777777" w:rsidTr="006667F3">
        <w:trPr>
          <w:trHeight w:val="255"/>
        </w:trPr>
        <w:tc>
          <w:tcPr>
            <w:tcW w:w="1701" w:type="dxa"/>
            <w:tcBorders>
              <w:top w:val="nil"/>
              <w:left w:val="nil"/>
              <w:bottom w:val="nil"/>
              <w:right w:val="nil"/>
            </w:tcBorders>
            <w:shd w:val="clear" w:color="auto" w:fill="auto"/>
            <w:noWrap/>
            <w:vAlign w:val="bottom"/>
            <w:hideMark/>
          </w:tcPr>
          <w:p w14:paraId="31A0EE8B" w14:textId="77777777" w:rsidR="00A668C2" w:rsidRPr="00A668C2" w:rsidRDefault="00A668C2" w:rsidP="00A668C2">
            <w:pPr>
              <w:tabs>
                <w:tab w:val="clear" w:pos="284"/>
              </w:tabs>
              <w:spacing w:after="0" w:line="240" w:lineRule="auto"/>
              <w:rPr>
                <w:sz w:val="20"/>
                <w:szCs w:val="20"/>
              </w:rPr>
            </w:pPr>
            <w:r w:rsidRPr="00A668C2">
              <w:rPr>
                <w:sz w:val="20"/>
                <w:szCs w:val="20"/>
              </w:rPr>
              <w:t>Portugal</w:t>
            </w:r>
          </w:p>
        </w:tc>
        <w:tc>
          <w:tcPr>
            <w:tcW w:w="639" w:type="dxa"/>
            <w:tcBorders>
              <w:top w:val="nil"/>
              <w:left w:val="nil"/>
              <w:bottom w:val="nil"/>
              <w:right w:val="nil"/>
            </w:tcBorders>
            <w:shd w:val="clear" w:color="auto" w:fill="auto"/>
            <w:noWrap/>
            <w:vAlign w:val="bottom"/>
            <w:hideMark/>
          </w:tcPr>
          <w:p w14:paraId="05EC2610" w14:textId="77777777" w:rsidR="00A668C2" w:rsidRPr="00A668C2" w:rsidRDefault="00A668C2" w:rsidP="00A668C2">
            <w:pPr>
              <w:tabs>
                <w:tab w:val="clear" w:pos="284"/>
              </w:tabs>
              <w:spacing w:after="0" w:line="240" w:lineRule="auto"/>
              <w:jc w:val="right"/>
              <w:rPr>
                <w:sz w:val="20"/>
                <w:szCs w:val="20"/>
              </w:rPr>
            </w:pPr>
            <w:r w:rsidRPr="00A668C2">
              <w:rPr>
                <w:sz w:val="20"/>
                <w:szCs w:val="20"/>
              </w:rPr>
              <w:t>22</w:t>
            </w:r>
          </w:p>
        </w:tc>
        <w:tc>
          <w:tcPr>
            <w:tcW w:w="960" w:type="dxa"/>
            <w:tcBorders>
              <w:top w:val="nil"/>
              <w:left w:val="nil"/>
              <w:bottom w:val="nil"/>
              <w:right w:val="nil"/>
            </w:tcBorders>
            <w:shd w:val="clear" w:color="auto" w:fill="auto"/>
            <w:noWrap/>
            <w:vAlign w:val="bottom"/>
            <w:hideMark/>
          </w:tcPr>
          <w:p w14:paraId="4F7CE5F0" w14:textId="77777777" w:rsidR="00A668C2" w:rsidRPr="00A668C2" w:rsidRDefault="00A668C2" w:rsidP="00A668C2">
            <w:pPr>
              <w:tabs>
                <w:tab w:val="clear" w:pos="284"/>
              </w:tabs>
              <w:spacing w:after="0" w:line="240" w:lineRule="auto"/>
              <w:jc w:val="right"/>
              <w:rPr>
                <w:sz w:val="20"/>
                <w:szCs w:val="20"/>
              </w:rPr>
            </w:pPr>
            <w:r w:rsidRPr="00A668C2">
              <w:rPr>
                <w:sz w:val="20"/>
                <w:szCs w:val="20"/>
              </w:rPr>
              <w:t>17</w:t>
            </w:r>
          </w:p>
        </w:tc>
        <w:tc>
          <w:tcPr>
            <w:tcW w:w="960" w:type="dxa"/>
            <w:tcBorders>
              <w:top w:val="nil"/>
              <w:left w:val="nil"/>
              <w:bottom w:val="nil"/>
              <w:right w:val="nil"/>
            </w:tcBorders>
            <w:shd w:val="clear" w:color="auto" w:fill="auto"/>
            <w:noWrap/>
            <w:vAlign w:val="bottom"/>
            <w:hideMark/>
          </w:tcPr>
          <w:p w14:paraId="058E15E3" w14:textId="77777777" w:rsidR="00A668C2" w:rsidRPr="00A668C2" w:rsidRDefault="00A668C2" w:rsidP="00A668C2">
            <w:pPr>
              <w:tabs>
                <w:tab w:val="clear" w:pos="284"/>
              </w:tabs>
              <w:spacing w:after="0" w:line="240" w:lineRule="auto"/>
              <w:jc w:val="right"/>
              <w:rPr>
                <w:sz w:val="20"/>
                <w:szCs w:val="20"/>
              </w:rPr>
            </w:pPr>
            <w:r w:rsidRPr="00A668C2">
              <w:rPr>
                <w:sz w:val="20"/>
                <w:szCs w:val="20"/>
              </w:rPr>
              <w:t>21</w:t>
            </w:r>
          </w:p>
        </w:tc>
        <w:tc>
          <w:tcPr>
            <w:tcW w:w="960" w:type="dxa"/>
            <w:tcBorders>
              <w:top w:val="nil"/>
              <w:left w:val="nil"/>
              <w:bottom w:val="nil"/>
              <w:right w:val="nil"/>
            </w:tcBorders>
            <w:shd w:val="clear" w:color="auto" w:fill="auto"/>
            <w:noWrap/>
            <w:vAlign w:val="bottom"/>
            <w:hideMark/>
          </w:tcPr>
          <w:p w14:paraId="36EA55F2" w14:textId="77777777" w:rsidR="00A668C2" w:rsidRPr="00A668C2" w:rsidRDefault="00A668C2" w:rsidP="00A668C2">
            <w:pPr>
              <w:tabs>
                <w:tab w:val="clear" w:pos="284"/>
              </w:tabs>
              <w:spacing w:after="0" w:line="240" w:lineRule="auto"/>
              <w:jc w:val="right"/>
              <w:rPr>
                <w:sz w:val="20"/>
                <w:szCs w:val="20"/>
              </w:rPr>
            </w:pPr>
            <w:r w:rsidRPr="00A668C2">
              <w:rPr>
                <w:sz w:val="20"/>
                <w:szCs w:val="20"/>
              </w:rPr>
              <w:t>12</w:t>
            </w:r>
          </w:p>
        </w:tc>
        <w:tc>
          <w:tcPr>
            <w:tcW w:w="960" w:type="dxa"/>
            <w:tcBorders>
              <w:top w:val="nil"/>
              <w:left w:val="nil"/>
              <w:bottom w:val="nil"/>
              <w:right w:val="nil"/>
            </w:tcBorders>
            <w:shd w:val="clear" w:color="auto" w:fill="auto"/>
            <w:noWrap/>
            <w:vAlign w:val="bottom"/>
            <w:hideMark/>
          </w:tcPr>
          <w:p w14:paraId="56EFEC65" w14:textId="77777777" w:rsidR="00A668C2" w:rsidRPr="00A668C2" w:rsidRDefault="00A668C2" w:rsidP="00A668C2">
            <w:pPr>
              <w:tabs>
                <w:tab w:val="clear" w:pos="284"/>
              </w:tabs>
              <w:spacing w:after="0" w:line="240" w:lineRule="auto"/>
              <w:jc w:val="right"/>
              <w:rPr>
                <w:sz w:val="20"/>
                <w:szCs w:val="20"/>
              </w:rPr>
            </w:pPr>
            <w:r w:rsidRPr="00A668C2">
              <w:rPr>
                <w:sz w:val="20"/>
                <w:szCs w:val="20"/>
              </w:rPr>
              <w:t>15</w:t>
            </w:r>
          </w:p>
        </w:tc>
        <w:tc>
          <w:tcPr>
            <w:tcW w:w="960" w:type="dxa"/>
            <w:tcBorders>
              <w:top w:val="nil"/>
              <w:left w:val="nil"/>
              <w:bottom w:val="nil"/>
              <w:right w:val="nil"/>
            </w:tcBorders>
            <w:shd w:val="clear" w:color="auto" w:fill="auto"/>
            <w:noWrap/>
            <w:vAlign w:val="bottom"/>
            <w:hideMark/>
          </w:tcPr>
          <w:p w14:paraId="4D4CC378" w14:textId="77777777" w:rsidR="00A668C2" w:rsidRPr="00A668C2" w:rsidRDefault="00A668C2" w:rsidP="00A668C2">
            <w:pPr>
              <w:tabs>
                <w:tab w:val="clear" w:pos="284"/>
              </w:tabs>
              <w:spacing w:after="0" w:line="240" w:lineRule="auto"/>
              <w:jc w:val="right"/>
              <w:rPr>
                <w:sz w:val="20"/>
                <w:szCs w:val="20"/>
              </w:rPr>
            </w:pPr>
            <w:r w:rsidRPr="00A668C2">
              <w:rPr>
                <w:sz w:val="20"/>
                <w:szCs w:val="20"/>
              </w:rPr>
              <w:t>17</w:t>
            </w:r>
          </w:p>
        </w:tc>
        <w:tc>
          <w:tcPr>
            <w:tcW w:w="960" w:type="dxa"/>
            <w:tcBorders>
              <w:top w:val="nil"/>
              <w:left w:val="nil"/>
              <w:bottom w:val="nil"/>
              <w:right w:val="nil"/>
            </w:tcBorders>
            <w:shd w:val="clear" w:color="auto" w:fill="auto"/>
            <w:noWrap/>
            <w:vAlign w:val="bottom"/>
            <w:hideMark/>
          </w:tcPr>
          <w:p w14:paraId="14F3B833" w14:textId="77777777" w:rsidR="00A668C2" w:rsidRPr="00A668C2" w:rsidRDefault="00A668C2" w:rsidP="00A668C2">
            <w:pPr>
              <w:tabs>
                <w:tab w:val="clear" w:pos="284"/>
              </w:tabs>
              <w:spacing w:after="0" w:line="240" w:lineRule="auto"/>
              <w:jc w:val="right"/>
              <w:rPr>
                <w:sz w:val="20"/>
                <w:szCs w:val="20"/>
              </w:rPr>
            </w:pPr>
            <w:r w:rsidRPr="00A668C2">
              <w:rPr>
                <w:sz w:val="20"/>
                <w:szCs w:val="20"/>
              </w:rPr>
              <w:t>16</w:t>
            </w:r>
          </w:p>
        </w:tc>
        <w:tc>
          <w:tcPr>
            <w:tcW w:w="960" w:type="dxa"/>
            <w:tcBorders>
              <w:top w:val="nil"/>
              <w:left w:val="nil"/>
              <w:bottom w:val="nil"/>
              <w:right w:val="nil"/>
            </w:tcBorders>
            <w:shd w:val="clear" w:color="auto" w:fill="auto"/>
            <w:noWrap/>
            <w:vAlign w:val="bottom"/>
            <w:hideMark/>
          </w:tcPr>
          <w:p w14:paraId="64EE3BB1" w14:textId="77777777" w:rsidR="00A668C2" w:rsidRPr="00A668C2" w:rsidRDefault="00A668C2" w:rsidP="00A668C2">
            <w:pPr>
              <w:tabs>
                <w:tab w:val="clear" w:pos="284"/>
              </w:tabs>
              <w:spacing w:after="0" w:line="240" w:lineRule="auto"/>
              <w:jc w:val="right"/>
              <w:rPr>
                <w:sz w:val="20"/>
                <w:szCs w:val="20"/>
              </w:rPr>
            </w:pPr>
            <w:r w:rsidRPr="00A668C2">
              <w:rPr>
                <w:sz w:val="20"/>
                <w:szCs w:val="20"/>
              </w:rPr>
              <w:t>16</w:t>
            </w:r>
          </w:p>
        </w:tc>
      </w:tr>
      <w:tr w:rsidR="00A668C2" w:rsidRPr="00A668C2" w14:paraId="4EFAD9CD" w14:textId="77777777" w:rsidTr="006667F3">
        <w:trPr>
          <w:trHeight w:val="255"/>
        </w:trPr>
        <w:tc>
          <w:tcPr>
            <w:tcW w:w="1701" w:type="dxa"/>
            <w:tcBorders>
              <w:top w:val="nil"/>
              <w:left w:val="nil"/>
              <w:bottom w:val="nil"/>
              <w:right w:val="nil"/>
            </w:tcBorders>
            <w:shd w:val="clear" w:color="auto" w:fill="auto"/>
            <w:noWrap/>
            <w:vAlign w:val="bottom"/>
            <w:hideMark/>
          </w:tcPr>
          <w:p w14:paraId="76F08199" w14:textId="77777777" w:rsidR="00A668C2" w:rsidRPr="00A668C2" w:rsidRDefault="00A668C2" w:rsidP="00A668C2">
            <w:pPr>
              <w:tabs>
                <w:tab w:val="clear" w:pos="284"/>
              </w:tabs>
              <w:spacing w:after="0" w:line="240" w:lineRule="auto"/>
              <w:rPr>
                <w:sz w:val="20"/>
                <w:szCs w:val="20"/>
              </w:rPr>
            </w:pPr>
            <w:r w:rsidRPr="00A668C2">
              <w:rPr>
                <w:sz w:val="20"/>
                <w:szCs w:val="20"/>
              </w:rPr>
              <w:t>Greece</w:t>
            </w:r>
          </w:p>
        </w:tc>
        <w:tc>
          <w:tcPr>
            <w:tcW w:w="639" w:type="dxa"/>
            <w:tcBorders>
              <w:top w:val="nil"/>
              <w:left w:val="nil"/>
              <w:bottom w:val="nil"/>
              <w:right w:val="nil"/>
            </w:tcBorders>
            <w:shd w:val="clear" w:color="auto" w:fill="auto"/>
            <w:noWrap/>
            <w:vAlign w:val="bottom"/>
            <w:hideMark/>
          </w:tcPr>
          <w:p w14:paraId="03A8D341" w14:textId="77777777" w:rsidR="00A668C2" w:rsidRPr="00A668C2" w:rsidRDefault="00A668C2" w:rsidP="00A668C2">
            <w:pPr>
              <w:tabs>
                <w:tab w:val="clear" w:pos="284"/>
              </w:tabs>
              <w:spacing w:after="0" w:line="240" w:lineRule="auto"/>
              <w:jc w:val="right"/>
              <w:rPr>
                <w:sz w:val="20"/>
                <w:szCs w:val="20"/>
              </w:rPr>
            </w:pPr>
            <w:r w:rsidRPr="00A668C2">
              <w:rPr>
                <w:sz w:val="20"/>
                <w:szCs w:val="20"/>
              </w:rPr>
              <w:t>12</w:t>
            </w:r>
          </w:p>
        </w:tc>
        <w:tc>
          <w:tcPr>
            <w:tcW w:w="960" w:type="dxa"/>
            <w:tcBorders>
              <w:top w:val="nil"/>
              <w:left w:val="nil"/>
              <w:bottom w:val="nil"/>
              <w:right w:val="nil"/>
            </w:tcBorders>
            <w:shd w:val="clear" w:color="auto" w:fill="auto"/>
            <w:noWrap/>
            <w:vAlign w:val="bottom"/>
            <w:hideMark/>
          </w:tcPr>
          <w:p w14:paraId="7EBD2413" w14:textId="77777777" w:rsidR="00A668C2" w:rsidRPr="00A668C2" w:rsidRDefault="00A668C2" w:rsidP="00A668C2">
            <w:pPr>
              <w:tabs>
                <w:tab w:val="clear" w:pos="284"/>
              </w:tabs>
              <w:spacing w:after="0" w:line="240" w:lineRule="auto"/>
              <w:jc w:val="right"/>
              <w:rPr>
                <w:sz w:val="20"/>
                <w:szCs w:val="20"/>
              </w:rPr>
            </w:pPr>
            <w:r w:rsidRPr="00A668C2">
              <w:rPr>
                <w:sz w:val="20"/>
                <w:szCs w:val="20"/>
              </w:rPr>
              <w:t>10</w:t>
            </w:r>
          </w:p>
        </w:tc>
        <w:tc>
          <w:tcPr>
            <w:tcW w:w="960" w:type="dxa"/>
            <w:tcBorders>
              <w:top w:val="nil"/>
              <w:left w:val="nil"/>
              <w:bottom w:val="nil"/>
              <w:right w:val="nil"/>
            </w:tcBorders>
            <w:shd w:val="clear" w:color="auto" w:fill="auto"/>
            <w:noWrap/>
            <w:vAlign w:val="bottom"/>
            <w:hideMark/>
          </w:tcPr>
          <w:p w14:paraId="391DE756" w14:textId="77777777" w:rsidR="00A668C2" w:rsidRPr="00A668C2" w:rsidRDefault="00A668C2" w:rsidP="00A668C2">
            <w:pPr>
              <w:tabs>
                <w:tab w:val="clear" w:pos="284"/>
              </w:tabs>
              <w:spacing w:after="0" w:line="240" w:lineRule="auto"/>
              <w:jc w:val="right"/>
              <w:rPr>
                <w:sz w:val="20"/>
                <w:szCs w:val="20"/>
              </w:rPr>
            </w:pPr>
            <w:r w:rsidRPr="00A668C2">
              <w:rPr>
                <w:sz w:val="20"/>
                <w:szCs w:val="20"/>
              </w:rPr>
              <w:t>15</w:t>
            </w:r>
          </w:p>
        </w:tc>
        <w:tc>
          <w:tcPr>
            <w:tcW w:w="960" w:type="dxa"/>
            <w:tcBorders>
              <w:top w:val="nil"/>
              <w:left w:val="nil"/>
              <w:bottom w:val="nil"/>
              <w:right w:val="nil"/>
            </w:tcBorders>
            <w:shd w:val="clear" w:color="auto" w:fill="auto"/>
            <w:noWrap/>
            <w:vAlign w:val="bottom"/>
            <w:hideMark/>
          </w:tcPr>
          <w:p w14:paraId="4B40A097" w14:textId="77777777" w:rsidR="00A668C2" w:rsidRPr="00A668C2" w:rsidRDefault="00A668C2" w:rsidP="00A668C2">
            <w:pPr>
              <w:tabs>
                <w:tab w:val="clear" w:pos="284"/>
              </w:tabs>
              <w:spacing w:after="0" w:line="240" w:lineRule="auto"/>
              <w:jc w:val="right"/>
              <w:rPr>
                <w:sz w:val="20"/>
                <w:szCs w:val="20"/>
              </w:rPr>
            </w:pPr>
            <w:r w:rsidRPr="00A668C2">
              <w:rPr>
                <w:sz w:val="20"/>
                <w:szCs w:val="20"/>
              </w:rPr>
              <w:t>16</w:t>
            </w:r>
          </w:p>
        </w:tc>
        <w:tc>
          <w:tcPr>
            <w:tcW w:w="960" w:type="dxa"/>
            <w:tcBorders>
              <w:top w:val="nil"/>
              <w:left w:val="nil"/>
              <w:bottom w:val="nil"/>
              <w:right w:val="nil"/>
            </w:tcBorders>
            <w:shd w:val="clear" w:color="auto" w:fill="auto"/>
            <w:noWrap/>
            <w:vAlign w:val="bottom"/>
            <w:hideMark/>
          </w:tcPr>
          <w:p w14:paraId="095D8C3D" w14:textId="77777777" w:rsidR="00A668C2" w:rsidRPr="00A668C2" w:rsidRDefault="00A668C2" w:rsidP="00A668C2">
            <w:pPr>
              <w:tabs>
                <w:tab w:val="clear" w:pos="284"/>
              </w:tabs>
              <w:spacing w:after="0" w:line="240" w:lineRule="auto"/>
              <w:jc w:val="right"/>
              <w:rPr>
                <w:sz w:val="20"/>
                <w:szCs w:val="20"/>
              </w:rPr>
            </w:pPr>
            <w:r w:rsidRPr="00A668C2">
              <w:rPr>
                <w:sz w:val="20"/>
                <w:szCs w:val="20"/>
              </w:rPr>
              <w:t>8</w:t>
            </w:r>
          </w:p>
        </w:tc>
        <w:tc>
          <w:tcPr>
            <w:tcW w:w="960" w:type="dxa"/>
            <w:tcBorders>
              <w:top w:val="nil"/>
              <w:left w:val="nil"/>
              <w:bottom w:val="nil"/>
              <w:right w:val="nil"/>
            </w:tcBorders>
            <w:shd w:val="clear" w:color="auto" w:fill="auto"/>
            <w:noWrap/>
            <w:vAlign w:val="bottom"/>
            <w:hideMark/>
          </w:tcPr>
          <w:p w14:paraId="64D9A94B" w14:textId="77777777" w:rsidR="00A668C2" w:rsidRPr="00A668C2" w:rsidRDefault="00A668C2" w:rsidP="00A668C2">
            <w:pPr>
              <w:tabs>
                <w:tab w:val="clear" w:pos="284"/>
              </w:tabs>
              <w:spacing w:after="0" w:line="240" w:lineRule="auto"/>
              <w:jc w:val="right"/>
              <w:rPr>
                <w:sz w:val="20"/>
                <w:szCs w:val="20"/>
              </w:rPr>
            </w:pPr>
            <w:r w:rsidRPr="00A668C2">
              <w:rPr>
                <w:sz w:val="20"/>
                <w:szCs w:val="20"/>
              </w:rPr>
              <w:t>13</w:t>
            </w:r>
          </w:p>
        </w:tc>
        <w:tc>
          <w:tcPr>
            <w:tcW w:w="960" w:type="dxa"/>
            <w:tcBorders>
              <w:top w:val="nil"/>
              <w:left w:val="nil"/>
              <w:bottom w:val="nil"/>
              <w:right w:val="nil"/>
            </w:tcBorders>
            <w:shd w:val="clear" w:color="auto" w:fill="auto"/>
            <w:noWrap/>
            <w:vAlign w:val="bottom"/>
            <w:hideMark/>
          </w:tcPr>
          <w:p w14:paraId="0D4097BD" w14:textId="77777777" w:rsidR="00A668C2" w:rsidRPr="00A668C2" w:rsidRDefault="00A668C2" w:rsidP="00A668C2">
            <w:pPr>
              <w:tabs>
                <w:tab w:val="clear" w:pos="284"/>
              </w:tabs>
              <w:spacing w:after="0" w:line="240" w:lineRule="auto"/>
              <w:jc w:val="right"/>
              <w:rPr>
                <w:sz w:val="20"/>
                <w:szCs w:val="20"/>
              </w:rPr>
            </w:pPr>
            <w:r w:rsidRPr="00A668C2">
              <w:rPr>
                <w:sz w:val="20"/>
                <w:szCs w:val="20"/>
              </w:rPr>
              <w:t>14</w:t>
            </w:r>
          </w:p>
        </w:tc>
        <w:tc>
          <w:tcPr>
            <w:tcW w:w="960" w:type="dxa"/>
            <w:tcBorders>
              <w:top w:val="nil"/>
              <w:left w:val="nil"/>
              <w:bottom w:val="nil"/>
              <w:right w:val="nil"/>
            </w:tcBorders>
            <w:shd w:val="clear" w:color="auto" w:fill="auto"/>
            <w:noWrap/>
            <w:vAlign w:val="bottom"/>
            <w:hideMark/>
          </w:tcPr>
          <w:p w14:paraId="0209D9F2" w14:textId="77777777" w:rsidR="00A668C2" w:rsidRPr="00A668C2" w:rsidRDefault="00A668C2" w:rsidP="00A668C2">
            <w:pPr>
              <w:tabs>
                <w:tab w:val="clear" w:pos="284"/>
              </w:tabs>
              <w:spacing w:after="0" w:line="240" w:lineRule="auto"/>
              <w:jc w:val="right"/>
              <w:rPr>
                <w:sz w:val="20"/>
                <w:szCs w:val="20"/>
              </w:rPr>
            </w:pPr>
            <w:r w:rsidRPr="00A668C2">
              <w:rPr>
                <w:sz w:val="20"/>
                <w:szCs w:val="20"/>
              </w:rPr>
              <w:t>16</w:t>
            </w:r>
          </w:p>
        </w:tc>
      </w:tr>
      <w:tr w:rsidR="00A668C2" w:rsidRPr="00A668C2" w14:paraId="3DB70A22" w14:textId="77777777" w:rsidTr="006667F3">
        <w:trPr>
          <w:trHeight w:val="255"/>
        </w:trPr>
        <w:tc>
          <w:tcPr>
            <w:tcW w:w="1701" w:type="dxa"/>
            <w:tcBorders>
              <w:top w:val="nil"/>
              <w:left w:val="nil"/>
              <w:bottom w:val="single" w:sz="4" w:space="0" w:color="auto"/>
              <w:right w:val="nil"/>
            </w:tcBorders>
            <w:shd w:val="clear" w:color="auto" w:fill="auto"/>
            <w:noWrap/>
            <w:vAlign w:val="bottom"/>
            <w:hideMark/>
          </w:tcPr>
          <w:p w14:paraId="088272DB" w14:textId="77777777" w:rsidR="00A668C2" w:rsidRPr="00A668C2" w:rsidRDefault="00A668C2" w:rsidP="00A668C2">
            <w:pPr>
              <w:tabs>
                <w:tab w:val="clear" w:pos="284"/>
              </w:tabs>
              <w:spacing w:after="0" w:line="240" w:lineRule="auto"/>
              <w:rPr>
                <w:sz w:val="20"/>
                <w:szCs w:val="20"/>
              </w:rPr>
            </w:pPr>
            <w:r w:rsidRPr="00A668C2">
              <w:rPr>
                <w:sz w:val="20"/>
                <w:szCs w:val="20"/>
              </w:rPr>
              <w:t>Slovenia</w:t>
            </w:r>
          </w:p>
        </w:tc>
        <w:tc>
          <w:tcPr>
            <w:tcW w:w="639" w:type="dxa"/>
            <w:tcBorders>
              <w:top w:val="nil"/>
              <w:left w:val="nil"/>
              <w:bottom w:val="single" w:sz="4" w:space="0" w:color="auto"/>
              <w:right w:val="nil"/>
            </w:tcBorders>
            <w:shd w:val="clear" w:color="auto" w:fill="auto"/>
            <w:noWrap/>
            <w:vAlign w:val="bottom"/>
            <w:hideMark/>
          </w:tcPr>
          <w:p w14:paraId="0F7CFCD3" w14:textId="77777777" w:rsidR="00A668C2" w:rsidRPr="00A668C2" w:rsidRDefault="00A668C2" w:rsidP="00A668C2">
            <w:pPr>
              <w:tabs>
                <w:tab w:val="clear" w:pos="284"/>
              </w:tabs>
              <w:spacing w:after="0" w:line="240" w:lineRule="auto"/>
              <w:jc w:val="right"/>
              <w:rPr>
                <w:sz w:val="20"/>
                <w:szCs w:val="20"/>
              </w:rPr>
            </w:pPr>
            <w:r w:rsidRPr="00A668C2">
              <w:rPr>
                <w:sz w:val="20"/>
                <w:szCs w:val="20"/>
              </w:rPr>
              <w:t>2</w:t>
            </w:r>
          </w:p>
        </w:tc>
        <w:tc>
          <w:tcPr>
            <w:tcW w:w="960" w:type="dxa"/>
            <w:tcBorders>
              <w:top w:val="nil"/>
              <w:left w:val="nil"/>
              <w:bottom w:val="single" w:sz="4" w:space="0" w:color="auto"/>
              <w:right w:val="nil"/>
            </w:tcBorders>
            <w:shd w:val="clear" w:color="auto" w:fill="auto"/>
            <w:noWrap/>
            <w:vAlign w:val="bottom"/>
            <w:hideMark/>
          </w:tcPr>
          <w:p w14:paraId="48FBE625" w14:textId="77777777" w:rsidR="00A668C2" w:rsidRPr="00A668C2" w:rsidRDefault="00A668C2" w:rsidP="00A668C2">
            <w:pPr>
              <w:tabs>
                <w:tab w:val="clear" w:pos="284"/>
              </w:tabs>
              <w:spacing w:after="0" w:line="240" w:lineRule="auto"/>
              <w:jc w:val="right"/>
              <w:rPr>
                <w:sz w:val="20"/>
                <w:szCs w:val="20"/>
              </w:rPr>
            </w:pPr>
            <w:r w:rsidRPr="00A668C2">
              <w:rPr>
                <w:sz w:val="20"/>
                <w:szCs w:val="20"/>
              </w:rPr>
              <w:t>3</w:t>
            </w:r>
          </w:p>
        </w:tc>
        <w:tc>
          <w:tcPr>
            <w:tcW w:w="960" w:type="dxa"/>
            <w:tcBorders>
              <w:top w:val="nil"/>
              <w:left w:val="nil"/>
              <w:bottom w:val="single" w:sz="4" w:space="0" w:color="auto"/>
              <w:right w:val="nil"/>
            </w:tcBorders>
            <w:shd w:val="clear" w:color="auto" w:fill="auto"/>
            <w:noWrap/>
            <w:vAlign w:val="bottom"/>
            <w:hideMark/>
          </w:tcPr>
          <w:p w14:paraId="02B8FBD4" w14:textId="77777777" w:rsidR="00A668C2" w:rsidRPr="00A668C2" w:rsidRDefault="00A668C2" w:rsidP="00A668C2">
            <w:pPr>
              <w:tabs>
                <w:tab w:val="clear" w:pos="284"/>
              </w:tabs>
              <w:spacing w:after="0" w:line="240" w:lineRule="auto"/>
              <w:jc w:val="right"/>
              <w:rPr>
                <w:sz w:val="20"/>
                <w:szCs w:val="20"/>
              </w:rPr>
            </w:pPr>
            <w:r w:rsidRPr="00A668C2">
              <w:rPr>
                <w:sz w:val="20"/>
                <w:szCs w:val="20"/>
              </w:rPr>
              <w:t>4</w:t>
            </w:r>
          </w:p>
        </w:tc>
        <w:tc>
          <w:tcPr>
            <w:tcW w:w="960" w:type="dxa"/>
            <w:tcBorders>
              <w:top w:val="nil"/>
              <w:left w:val="nil"/>
              <w:bottom w:val="single" w:sz="4" w:space="0" w:color="auto"/>
              <w:right w:val="nil"/>
            </w:tcBorders>
            <w:shd w:val="clear" w:color="auto" w:fill="auto"/>
            <w:noWrap/>
            <w:vAlign w:val="bottom"/>
            <w:hideMark/>
          </w:tcPr>
          <w:p w14:paraId="0DA19417" w14:textId="77777777" w:rsidR="00A668C2" w:rsidRPr="00A668C2" w:rsidRDefault="00A668C2" w:rsidP="00A668C2">
            <w:pPr>
              <w:tabs>
                <w:tab w:val="clear" w:pos="284"/>
              </w:tabs>
              <w:spacing w:after="0" w:line="240" w:lineRule="auto"/>
              <w:jc w:val="right"/>
              <w:rPr>
                <w:sz w:val="20"/>
                <w:szCs w:val="20"/>
              </w:rPr>
            </w:pPr>
            <w:r w:rsidRPr="00A668C2">
              <w:rPr>
                <w:sz w:val="20"/>
                <w:szCs w:val="20"/>
              </w:rPr>
              <w:t>3</w:t>
            </w:r>
          </w:p>
        </w:tc>
        <w:tc>
          <w:tcPr>
            <w:tcW w:w="960" w:type="dxa"/>
            <w:tcBorders>
              <w:top w:val="nil"/>
              <w:left w:val="nil"/>
              <w:bottom w:val="single" w:sz="4" w:space="0" w:color="auto"/>
              <w:right w:val="nil"/>
            </w:tcBorders>
            <w:shd w:val="clear" w:color="auto" w:fill="auto"/>
            <w:noWrap/>
            <w:vAlign w:val="bottom"/>
            <w:hideMark/>
          </w:tcPr>
          <w:p w14:paraId="0ABADFF2" w14:textId="77777777" w:rsidR="00A668C2" w:rsidRPr="00A668C2" w:rsidRDefault="00A668C2" w:rsidP="00A668C2">
            <w:pPr>
              <w:tabs>
                <w:tab w:val="clear" w:pos="284"/>
              </w:tabs>
              <w:spacing w:after="0" w:line="240" w:lineRule="auto"/>
              <w:jc w:val="right"/>
              <w:rPr>
                <w:sz w:val="20"/>
                <w:szCs w:val="20"/>
              </w:rPr>
            </w:pPr>
            <w:r w:rsidRPr="00A668C2">
              <w:rPr>
                <w:sz w:val="20"/>
                <w:szCs w:val="20"/>
              </w:rPr>
              <w:t>3</w:t>
            </w:r>
          </w:p>
        </w:tc>
        <w:tc>
          <w:tcPr>
            <w:tcW w:w="960" w:type="dxa"/>
            <w:tcBorders>
              <w:top w:val="nil"/>
              <w:left w:val="nil"/>
              <w:bottom w:val="single" w:sz="4" w:space="0" w:color="auto"/>
              <w:right w:val="nil"/>
            </w:tcBorders>
            <w:shd w:val="clear" w:color="auto" w:fill="auto"/>
            <w:noWrap/>
            <w:vAlign w:val="bottom"/>
            <w:hideMark/>
          </w:tcPr>
          <w:p w14:paraId="3E2E0A20" w14:textId="77777777" w:rsidR="00A668C2" w:rsidRPr="00A668C2" w:rsidRDefault="00A668C2" w:rsidP="00A668C2">
            <w:pPr>
              <w:tabs>
                <w:tab w:val="clear" w:pos="284"/>
              </w:tabs>
              <w:spacing w:after="0" w:line="240" w:lineRule="auto"/>
              <w:jc w:val="right"/>
              <w:rPr>
                <w:sz w:val="20"/>
                <w:szCs w:val="20"/>
              </w:rPr>
            </w:pPr>
            <w:r w:rsidRPr="00A668C2">
              <w:rPr>
                <w:sz w:val="20"/>
                <w:szCs w:val="20"/>
              </w:rPr>
              <w:t>6</w:t>
            </w:r>
          </w:p>
        </w:tc>
        <w:tc>
          <w:tcPr>
            <w:tcW w:w="960" w:type="dxa"/>
            <w:tcBorders>
              <w:top w:val="nil"/>
              <w:left w:val="nil"/>
              <w:bottom w:val="single" w:sz="4" w:space="0" w:color="auto"/>
              <w:right w:val="nil"/>
            </w:tcBorders>
            <w:shd w:val="clear" w:color="auto" w:fill="auto"/>
            <w:noWrap/>
            <w:vAlign w:val="bottom"/>
            <w:hideMark/>
          </w:tcPr>
          <w:p w14:paraId="074744D8" w14:textId="77777777" w:rsidR="00A668C2" w:rsidRPr="00A668C2" w:rsidRDefault="00A668C2" w:rsidP="00A668C2">
            <w:pPr>
              <w:tabs>
                <w:tab w:val="clear" w:pos="284"/>
              </w:tabs>
              <w:spacing w:after="0" w:line="240" w:lineRule="auto"/>
              <w:jc w:val="right"/>
              <w:rPr>
                <w:sz w:val="20"/>
                <w:szCs w:val="20"/>
              </w:rPr>
            </w:pPr>
            <w:r w:rsidRPr="00A668C2">
              <w:rPr>
                <w:sz w:val="20"/>
                <w:szCs w:val="20"/>
              </w:rPr>
              <w:t>3</w:t>
            </w:r>
          </w:p>
        </w:tc>
        <w:tc>
          <w:tcPr>
            <w:tcW w:w="960" w:type="dxa"/>
            <w:tcBorders>
              <w:top w:val="nil"/>
              <w:left w:val="nil"/>
              <w:bottom w:val="single" w:sz="4" w:space="0" w:color="auto"/>
              <w:right w:val="nil"/>
            </w:tcBorders>
            <w:shd w:val="clear" w:color="auto" w:fill="auto"/>
            <w:noWrap/>
            <w:vAlign w:val="bottom"/>
            <w:hideMark/>
          </w:tcPr>
          <w:p w14:paraId="5428D66E" w14:textId="77777777" w:rsidR="00A668C2" w:rsidRPr="00A668C2" w:rsidRDefault="00A668C2" w:rsidP="00A668C2">
            <w:pPr>
              <w:tabs>
                <w:tab w:val="clear" w:pos="284"/>
              </w:tabs>
              <w:spacing w:after="0" w:line="240" w:lineRule="auto"/>
              <w:jc w:val="right"/>
              <w:rPr>
                <w:sz w:val="20"/>
                <w:szCs w:val="20"/>
              </w:rPr>
            </w:pPr>
            <w:r w:rsidRPr="00A668C2">
              <w:rPr>
                <w:sz w:val="20"/>
                <w:szCs w:val="20"/>
              </w:rPr>
              <w:t>3</w:t>
            </w:r>
          </w:p>
        </w:tc>
      </w:tr>
    </w:tbl>
    <w:p w14:paraId="3F2D84BC" w14:textId="3521D305" w:rsidR="00A668C2" w:rsidRPr="00140CF6" w:rsidRDefault="006667F3" w:rsidP="00140CF6">
      <w:pPr>
        <w:ind w:right="-2013"/>
        <w:rPr>
          <w:sz w:val="20"/>
          <w:szCs w:val="20"/>
        </w:rPr>
      </w:pPr>
      <w:r w:rsidRPr="00140CF6">
        <w:rPr>
          <w:sz w:val="20"/>
          <w:szCs w:val="20"/>
        </w:rPr>
        <w:t>Källa: Utrikesdepartementet sammanställning med uppgifter från OECD. Utr</w:t>
      </w:r>
      <w:r w:rsidR="002935C4" w:rsidRPr="00140CF6">
        <w:rPr>
          <w:sz w:val="20"/>
          <w:szCs w:val="20"/>
        </w:rPr>
        <w:t>ednings</w:t>
      </w:r>
      <w:r w:rsidRPr="00140CF6">
        <w:rPr>
          <w:sz w:val="20"/>
          <w:szCs w:val="20"/>
        </w:rPr>
        <w:t xml:space="preserve">tjänstens bearbetning. </w:t>
      </w:r>
    </w:p>
    <w:p w14:paraId="14425F02" w14:textId="77777777" w:rsidR="007671DD" w:rsidRPr="006667F3" w:rsidRDefault="007671DD" w:rsidP="00A668C2">
      <w:pPr>
        <w:rPr>
          <w:i/>
          <w:sz w:val="20"/>
          <w:szCs w:val="20"/>
        </w:rPr>
      </w:pPr>
    </w:p>
    <w:p w14:paraId="7FED3EA0" w14:textId="2D6F8CA3" w:rsidR="007671DD" w:rsidRDefault="00A668C2" w:rsidP="00140CF6">
      <w:pPr>
        <w:pStyle w:val="Beskrivning"/>
        <w:ind w:right="-170"/>
      </w:pPr>
      <w:r>
        <w:t xml:space="preserve">Diagram </w:t>
      </w:r>
      <w:fldSimple w:instr=" SEQ Diagram \* ARABIC ">
        <w:r w:rsidR="00616FC4">
          <w:rPr>
            <w:noProof/>
          </w:rPr>
          <w:t>2</w:t>
        </w:r>
      </w:fldSimple>
      <w:r w:rsidR="001565C8">
        <w:rPr>
          <w:noProof/>
        </w:rPr>
        <w:t>:</w:t>
      </w:r>
      <w:r>
        <w:t xml:space="preserve"> Totalt bistånd i MUSD, jämförelse mellan </w:t>
      </w:r>
      <w:r w:rsidR="007671DD">
        <w:t xml:space="preserve">länder </w:t>
      </w:r>
      <w:r w:rsidR="001565C8">
        <w:t>2011–2018.</w:t>
      </w:r>
      <w:r w:rsidR="007671DD">
        <w:rPr>
          <w:noProof/>
        </w:rPr>
        <w:drawing>
          <wp:inline distT="0" distB="0" distL="0" distR="0" wp14:anchorId="3BF7A3AD" wp14:editId="3DD38B30">
            <wp:extent cx="4572635" cy="3915435"/>
            <wp:effectExtent l="0" t="0" r="0" b="8890"/>
            <wp:docPr id="6" name="Diagram 6">
              <a:extLst xmlns:a="http://schemas.openxmlformats.org/drawingml/2006/main">
                <a:ext uri="{FF2B5EF4-FFF2-40B4-BE49-F238E27FC236}">
                  <a16:creationId xmlns:a16="http://schemas.microsoft.com/office/drawing/2014/main" id="{E773163E-F816-4975-99BF-F277D2A252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9B12D1" w14:textId="6DA92C59" w:rsidR="006667F3" w:rsidRPr="00140CF6" w:rsidRDefault="006667F3" w:rsidP="006667F3">
      <w:pPr>
        <w:rPr>
          <w:sz w:val="20"/>
          <w:szCs w:val="20"/>
        </w:rPr>
      </w:pPr>
      <w:r w:rsidRPr="00140CF6">
        <w:rPr>
          <w:sz w:val="20"/>
          <w:szCs w:val="20"/>
        </w:rPr>
        <w:t>Källa: Utrikesdepartementet sammanställning med uppgifter från OECD. Utr</w:t>
      </w:r>
      <w:r w:rsidR="00486387" w:rsidRPr="00140CF6">
        <w:rPr>
          <w:sz w:val="20"/>
          <w:szCs w:val="20"/>
        </w:rPr>
        <w:t>ednings</w:t>
      </w:r>
      <w:r w:rsidRPr="00140CF6">
        <w:rPr>
          <w:sz w:val="20"/>
          <w:szCs w:val="20"/>
        </w:rPr>
        <w:t xml:space="preserve">tjänstens bearbetning. </w:t>
      </w:r>
    </w:p>
    <w:p w14:paraId="0EBB7507" w14:textId="7EAC53F2" w:rsidR="006667F3" w:rsidRDefault="006667F3" w:rsidP="006667F3"/>
    <w:p w14:paraId="341D6C2B" w14:textId="67CB6DD5" w:rsidR="009A620E" w:rsidRDefault="009A620E" w:rsidP="006667F3"/>
    <w:p w14:paraId="024177C6" w14:textId="249C8FEB" w:rsidR="009A620E" w:rsidRDefault="009A620E" w:rsidP="006667F3"/>
    <w:p w14:paraId="2549EB90" w14:textId="1FDEBED8" w:rsidR="009A620E" w:rsidRDefault="009A620E" w:rsidP="006667F3"/>
    <w:p w14:paraId="3F4C1B8B" w14:textId="65C96A60" w:rsidR="009A620E" w:rsidRDefault="009A620E" w:rsidP="006667F3"/>
    <w:p w14:paraId="7B02DEA1" w14:textId="3823CD0F" w:rsidR="009A620E" w:rsidRDefault="009A620E" w:rsidP="006667F3"/>
    <w:p w14:paraId="507E9AFB" w14:textId="240C638E" w:rsidR="009A620E" w:rsidRDefault="009A620E" w:rsidP="006667F3"/>
    <w:p w14:paraId="0A54064C" w14:textId="7C520E01" w:rsidR="009A620E" w:rsidRDefault="009A620E" w:rsidP="006667F3"/>
    <w:p w14:paraId="72F043FB" w14:textId="77777777" w:rsidR="000824D0" w:rsidRDefault="000824D0" w:rsidP="006667F3"/>
    <w:p w14:paraId="23A719EB" w14:textId="5C9A0CA8" w:rsidR="009A620E" w:rsidRDefault="009A620E" w:rsidP="006667F3"/>
    <w:p w14:paraId="34E55583" w14:textId="77777777" w:rsidR="009A620E" w:rsidRDefault="009A620E" w:rsidP="006667F3"/>
    <w:p w14:paraId="0802A729" w14:textId="7BBE3A20" w:rsidR="006667F3" w:rsidRPr="00140CF6" w:rsidRDefault="00CF0644" w:rsidP="00486387">
      <w:pPr>
        <w:ind w:right="-879"/>
        <w:rPr>
          <w:b/>
          <w:i/>
        </w:rPr>
      </w:pPr>
      <w:r w:rsidRPr="00140CF6">
        <w:rPr>
          <w:b/>
          <w:i/>
        </w:rPr>
        <w:lastRenderedPageBreak/>
        <w:t xml:space="preserve">Tabell </w:t>
      </w:r>
      <w:r w:rsidR="00EA3C14" w:rsidRPr="00140CF6">
        <w:rPr>
          <w:b/>
          <w:i/>
        </w:rPr>
        <w:t>5</w:t>
      </w:r>
      <w:r w:rsidR="00486387" w:rsidRPr="00140CF6">
        <w:rPr>
          <w:b/>
          <w:i/>
        </w:rPr>
        <w:t>:</w:t>
      </w:r>
      <w:r w:rsidRPr="00140CF6">
        <w:rPr>
          <w:b/>
          <w:i/>
        </w:rPr>
        <w:t xml:space="preserve"> Totalt bistånd i USD/capita</w:t>
      </w:r>
      <w:r w:rsidR="00486387" w:rsidRPr="00140CF6">
        <w:rPr>
          <w:b/>
          <w:i/>
        </w:rPr>
        <w:t xml:space="preserve">, </w:t>
      </w:r>
      <w:r w:rsidRPr="00140CF6">
        <w:rPr>
          <w:b/>
          <w:i/>
        </w:rPr>
        <w:t>DAC-länder</w:t>
      </w:r>
      <w:r w:rsidR="00486387" w:rsidRPr="00140CF6">
        <w:rPr>
          <w:b/>
          <w:i/>
        </w:rPr>
        <w:t xml:space="preserve">na, 2011–2018. </w:t>
      </w:r>
    </w:p>
    <w:tbl>
      <w:tblPr>
        <w:tblW w:w="9130" w:type="dxa"/>
        <w:tblCellMar>
          <w:left w:w="70" w:type="dxa"/>
          <w:right w:w="70" w:type="dxa"/>
        </w:tblCellMar>
        <w:tblLook w:val="04A0" w:firstRow="1" w:lastRow="0" w:firstColumn="1" w:lastColumn="0" w:noHBand="0" w:noVBand="1"/>
      </w:tblPr>
      <w:tblGrid>
        <w:gridCol w:w="1701"/>
        <w:gridCol w:w="709"/>
        <w:gridCol w:w="960"/>
        <w:gridCol w:w="960"/>
        <w:gridCol w:w="960"/>
        <w:gridCol w:w="960"/>
        <w:gridCol w:w="960"/>
        <w:gridCol w:w="960"/>
        <w:gridCol w:w="960"/>
      </w:tblGrid>
      <w:tr w:rsidR="006667F3" w:rsidRPr="006667F3" w14:paraId="54661073" w14:textId="77777777" w:rsidTr="00140CF6">
        <w:trPr>
          <w:trHeight w:val="255"/>
        </w:trPr>
        <w:tc>
          <w:tcPr>
            <w:tcW w:w="1701" w:type="dxa"/>
            <w:tcBorders>
              <w:top w:val="single" w:sz="4" w:space="0" w:color="auto"/>
              <w:left w:val="nil"/>
              <w:bottom w:val="single" w:sz="4" w:space="0" w:color="auto"/>
              <w:right w:val="nil"/>
            </w:tcBorders>
            <w:shd w:val="clear" w:color="auto" w:fill="auto"/>
            <w:noWrap/>
            <w:vAlign w:val="bottom"/>
            <w:hideMark/>
          </w:tcPr>
          <w:p w14:paraId="10E1086F" w14:textId="77777777" w:rsidR="006667F3" w:rsidRPr="006667F3" w:rsidRDefault="006667F3" w:rsidP="006667F3">
            <w:pPr>
              <w:tabs>
                <w:tab w:val="clear" w:pos="284"/>
              </w:tabs>
              <w:spacing w:after="0" w:line="240" w:lineRule="auto"/>
              <w:rPr>
                <w:sz w:val="20"/>
                <w:szCs w:val="20"/>
              </w:rPr>
            </w:pPr>
            <w:r w:rsidRPr="006667F3">
              <w:rPr>
                <w:sz w:val="20"/>
                <w:szCs w:val="20"/>
              </w:rPr>
              <w:t> </w:t>
            </w:r>
          </w:p>
        </w:tc>
        <w:tc>
          <w:tcPr>
            <w:tcW w:w="709" w:type="dxa"/>
            <w:tcBorders>
              <w:top w:val="single" w:sz="4" w:space="0" w:color="auto"/>
              <w:left w:val="nil"/>
              <w:bottom w:val="single" w:sz="4" w:space="0" w:color="auto"/>
              <w:right w:val="nil"/>
            </w:tcBorders>
            <w:shd w:val="clear" w:color="auto" w:fill="auto"/>
            <w:noWrap/>
            <w:vAlign w:val="bottom"/>
            <w:hideMark/>
          </w:tcPr>
          <w:p w14:paraId="240D36E9" w14:textId="77777777" w:rsidR="006667F3" w:rsidRPr="006667F3" w:rsidRDefault="006667F3" w:rsidP="006667F3">
            <w:pPr>
              <w:tabs>
                <w:tab w:val="clear" w:pos="284"/>
              </w:tabs>
              <w:spacing w:after="0" w:line="240" w:lineRule="auto"/>
              <w:jc w:val="right"/>
              <w:rPr>
                <w:sz w:val="20"/>
                <w:szCs w:val="20"/>
              </w:rPr>
            </w:pPr>
            <w:r w:rsidRPr="006667F3">
              <w:rPr>
                <w:sz w:val="20"/>
                <w:szCs w:val="20"/>
              </w:rPr>
              <w:t>2 011</w:t>
            </w:r>
          </w:p>
        </w:tc>
        <w:tc>
          <w:tcPr>
            <w:tcW w:w="960" w:type="dxa"/>
            <w:tcBorders>
              <w:top w:val="single" w:sz="4" w:space="0" w:color="auto"/>
              <w:left w:val="nil"/>
              <w:bottom w:val="single" w:sz="4" w:space="0" w:color="auto"/>
              <w:right w:val="nil"/>
            </w:tcBorders>
            <w:shd w:val="clear" w:color="auto" w:fill="auto"/>
            <w:noWrap/>
            <w:vAlign w:val="bottom"/>
            <w:hideMark/>
          </w:tcPr>
          <w:p w14:paraId="2A003F0B" w14:textId="77777777" w:rsidR="006667F3" w:rsidRPr="006667F3" w:rsidRDefault="006667F3" w:rsidP="006667F3">
            <w:pPr>
              <w:tabs>
                <w:tab w:val="clear" w:pos="284"/>
              </w:tabs>
              <w:spacing w:after="0" w:line="240" w:lineRule="auto"/>
              <w:jc w:val="right"/>
              <w:rPr>
                <w:sz w:val="20"/>
                <w:szCs w:val="20"/>
              </w:rPr>
            </w:pPr>
            <w:r w:rsidRPr="006667F3">
              <w:rPr>
                <w:sz w:val="20"/>
                <w:szCs w:val="20"/>
              </w:rPr>
              <w:t>2 012</w:t>
            </w:r>
          </w:p>
        </w:tc>
        <w:tc>
          <w:tcPr>
            <w:tcW w:w="960" w:type="dxa"/>
            <w:tcBorders>
              <w:top w:val="single" w:sz="4" w:space="0" w:color="auto"/>
              <w:left w:val="nil"/>
              <w:bottom w:val="single" w:sz="4" w:space="0" w:color="auto"/>
              <w:right w:val="nil"/>
            </w:tcBorders>
            <w:shd w:val="clear" w:color="auto" w:fill="auto"/>
            <w:noWrap/>
            <w:vAlign w:val="bottom"/>
            <w:hideMark/>
          </w:tcPr>
          <w:p w14:paraId="667F5DE3" w14:textId="77777777" w:rsidR="006667F3" w:rsidRPr="006667F3" w:rsidRDefault="006667F3" w:rsidP="006667F3">
            <w:pPr>
              <w:tabs>
                <w:tab w:val="clear" w:pos="284"/>
              </w:tabs>
              <w:spacing w:after="0" w:line="240" w:lineRule="auto"/>
              <w:jc w:val="right"/>
              <w:rPr>
                <w:sz w:val="20"/>
                <w:szCs w:val="20"/>
              </w:rPr>
            </w:pPr>
            <w:r w:rsidRPr="006667F3">
              <w:rPr>
                <w:sz w:val="20"/>
                <w:szCs w:val="20"/>
              </w:rPr>
              <w:t>2 013</w:t>
            </w:r>
          </w:p>
        </w:tc>
        <w:tc>
          <w:tcPr>
            <w:tcW w:w="960" w:type="dxa"/>
            <w:tcBorders>
              <w:top w:val="single" w:sz="4" w:space="0" w:color="auto"/>
              <w:left w:val="nil"/>
              <w:bottom w:val="single" w:sz="4" w:space="0" w:color="auto"/>
              <w:right w:val="nil"/>
            </w:tcBorders>
            <w:shd w:val="clear" w:color="auto" w:fill="auto"/>
            <w:noWrap/>
            <w:vAlign w:val="bottom"/>
            <w:hideMark/>
          </w:tcPr>
          <w:p w14:paraId="3F41C5F3" w14:textId="77777777" w:rsidR="006667F3" w:rsidRPr="006667F3" w:rsidRDefault="006667F3" w:rsidP="006667F3">
            <w:pPr>
              <w:tabs>
                <w:tab w:val="clear" w:pos="284"/>
              </w:tabs>
              <w:spacing w:after="0" w:line="240" w:lineRule="auto"/>
              <w:jc w:val="right"/>
              <w:rPr>
                <w:sz w:val="20"/>
                <w:szCs w:val="20"/>
              </w:rPr>
            </w:pPr>
            <w:r w:rsidRPr="006667F3">
              <w:rPr>
                <w:sz w:val="20"/>
                <w:szCs w:val="20"/>
              </w:rPr>
              <w:t>2 014</w:t>
            </w:r>
          </w:p>
        </w:tc>
        <w:tc>
          <w:tcPr>
            <w:tcW w:w="960" w:type="dxa"/>
            <w:tcBorders>
              <w:top w:val="single" w:sz="4" w:space="0" w:color="auto"/>
              <w:left w:val="nil"/>
              <w:bottom w:val="single" w:sz="4" w:space="0" w:color="auto"/>
              <w:right w:val="nil"/>
            </w:tcBorders>
            <w:shd w:val="clear" w:color="auto" w:fill="auto"/>
            <w:noWrap/>
            <w:vAlign w:val="bottom"/>
            <w:hideMark/>
          </w:tcPr>
          <w:p w14:paraId="5953D81D" w14:textId="77777777" w:rsidR="006667F3" w:rsidRPr="006667F3" w:rsidRDefault="006667F3" w:rsidP="006667F3">
            <w:pPr>
              <w:tabs>
                <w:tab w:val="clear" w:pos="284"/>
              </w:tabs>
              <w:spacing w:after="0" w:line="240" w:lineRule="auto"/>
              <w:jc w:val="right"/>
              <w:rPr>
                <w:sz w:val="20"/>
                <w:szCs w:val="20"/>
              </w:rPr>
            </w:pPr>
            <w:r w:rsidRPr="006667F3">
              <w:rPr>
                <w:sz w:val="20"/>
                <w:szCs w:val="20"/>
              </w:rPr>
              <w:t>2 015</w:t>
            </w:r>
          </w:p>
        </w:tc>
        <w:tc>
          <w:tcPr>
            <w:tcW w:w="960" w:type="dxa"/>
            <w:tcBorders>
              <w:top w:val="single" w:sz="4" w:space="0" w:color="auto"/>
              <w:left w:val="nil"/>
              <w:bottom w:val="single" w:sz="4" w:space="0" w:color="auto"/>
              <w:right w:val="nil"/>
            </w:tcBorders>
            <w:shd w:val="clear" w:color="auto" w:fill="auto"/>
            <w:noWrap/>
            <w:vAlign w:val="bottom"/>
            <w:hideMark/>
          </w:tcPr>
          <w:p w14:paraId="0096AC67" w14:textId="77777777" w:rsidR="006667F3" w:rsidRPr="006667F3" w:rsidRDefault="006667F3" w:rsidP="006667F3">
            <w:pPr>
              <w:tabs>
                <w:tab w:val="clear" w:pos="284"/>
              </w:tabs>
              <w:spacing w:after="0" w:line="240" w:lineRule="auto"/>
              <w:jc w:val="right"/>
              <w:rPr>
                <w:sz w:val="20"/>
                <w:szCs w:val="20"/>
              </w:rPr>
            </w:pPr>
            <w:r w:rsidRPr="006667F3">
              <w:rPr>
                <w:sz w:val="20"/>
                <w:szCs w:val="20"/>
              </w:rPr>
              <w:t>2 016</w:t>
            </w:r>
          </w:p>
        </w:tc>
        <w:tc>
          <w:tcPr>
            <w:tcW w:w="960" w:type="dxa"/>
            <w:tcBorders>
              <w:top w:val="single" w:sz="4" w:space="0" w:color="auto"/>
              <w:left w:val="nil"/>
              <w:bottom w:val="single" w:sz="4" w:space="0" w:color="auto"/>
              <w:right w:val="nil"/>
            </w:tcBorders>
            <w:shd w:val="clear" w:color="auto" w:fill="auto"/>
            <w:noWrap/>
            <w:vAlign w:val="bottom"/>
            <w:hideMark/>
          </w:tcPr>
          <w:p w14:paraId="2F60930E" w14:textId="77777777" w:rsidR="006667F3" w:rsidRPr="006667F3" w:rsidRDefault="006667F3" w:rsidP="006667F3">
            <w:pPr>
              <w:tabs>
                <w:tab w:val="clear" w:pos="284"/>
              </w:tabs>
              <w:spacing w:after="0" w:line="240" w:lineRule="auto"/>
              <w:jc w:val="right"/>
              <w:rPr>
                <w:sz w:val="20"/>
                <w:szCs w:val="20"/>
              </w:rPr>
            </w:pPr>
            <w:r w:rsidRPr="006667F3">
              <w:rPr>
                <w:sz w:val="20"/>
                <w:szCs w:val="20"/>
              </w:rPr>
              <w:t>2 017</w:t>
            </w:r>
          </w:p>
        </w:tc>
        <w:tc>
          <w:tcPr>
            <w:tcW w:w="960" w:type="dxa"/>
            <w:tcBorders>
              <w:top w:val="single" w:sz="4" w:space="0" w:color="auto"/>
              <w:left w:val="nil"/>
              <w:bottom w:val="single" w:sz="4" w:space="0" w:color="auto"/>
              <w:right w:val="nil"/>
            </w:tcBorders>
            <w:shd w:val="clear" w:color="auto" w:fill="auto"/>
            <w:noWrap/>
            <w:vAlign w:val="bottom"/>
            <w:hideMark/>
          </w:tcPr>
          <w:p w14:paraId="26F65D4D" w14:textId="77777777" w:rsidR="006667F3" w:rsidRPr="006667F3" w:rsidRDefault="006667F3" w:rsidP="006667F3">
            <w:pPr>
              <w:tabs>
                <w:tab w:val="clear" w:pos="284"/>
              </w:tabs>
              <w:spacing w:after="0" w:line="240" w:lineRule="auto"/>
              <w:jc w:val="right"/>
              <w:rPr>
                <w:sz w:val="20"/>
                <w:szCs w:val="20"/>
              </w:rPr>
            </w:pPr>
            <w:r w:rsidRPr="006667F3">
              <w:rPr>
                <w:sz w:val="20"/>
                <w:szCs w:val="20"/>
              </w:rPr>
              <w:t>2 018</w:t>
            </w:r>
          </w:p>
        </w:tc>
      </w:tr>
      <w:tr w:rsidR="006667F3" w:rsidRPr="006667F3" w14:paraId="242599DA" w14:textId="77777777" w:rsidTr="00140CF6">
        <w:trPr>
          <w:trHeight w:val="255"/>
        </w:trPr>
        <w:tc>
          <w:tcPr>
            <w:tcW w:w="1701" w:type="dxa"/>
            <w:tcBorders>
              <w:top w:val="nil"/>
              <w:left w:val="nil"/>
              <w:bottom w:val="nil"/>
              <w:right w:val="nil"/>
            </w:tcBorders>
            <w:shd w:val="clear" w:color="auto" w:fill="auto"/>
            <w:noWrap/>
            <w:vAlign w:val="bottom"/>
            <w:hideMark/>
          </w:tcPr>
          <w:p w14:paraId="6A91FA2F" w14:textId="77777777" w:rsidR="006667F3" w:rsidRPr="006667F3" w:rsidRDefault="006667F3" w:rsidP="006667F3">
            <w:pPr>
              <w:tabs>
                <w:tab w:val="clear" w:pos="284"/>
              </w:tabs>
              <w:spacing w:after="0" w:line="240" w:lineRule="auto"/>
              <w:rPr>
                <w:sz w:val="20"/>
                <w:szCs w:val="20"/>
              </w:rPr>
            </w:pPr>
            <w:r w:rsidRPr="006667F3">
              <w:rPr>
                <w:sz w:val="20"/>
                <w:szCs w:val="20"/>
              </w:rPr>
              <w:t>Norway</w:t>
            </w:r>
          </w:p>
        </w:tc>
        <w:tc>
          <w:tcPr>
            <w:tcW w:w="709" w:type="dxa"/>
            <w:tcBorders>
              <w:top w:val="nil"/>
              <w:left w:val="nil"/>
              <w:bottom w:val="nil"/>
              <w:right w:val="nil"/>
            </w:tcBorders>
            <w:shd w:val="clear" w:color="auto" w:fill="auto"/>
            <w:noWrap/>
            <w:vAlign w:val="bottom"/>
            <w:hideMark/>
          </w:tcPr>
          <w:p w14:paraId="7D37BC88" w14:textId="77777777" w:rsidR="006667F3" w:rsidRPr="006667F3" w:rsidRDefault="006667F3" w:rsidP="006667F3">
            <w:pPr>
              <w:tabs>
                <w:tab w:val="clear" w:pos="284"/>
              </w:tabs>
              <w:spacing w:after="0" w:line="240" w:lineRule="auto"/>
              <w:jc w:val="right"/>
              <w:rPr>
                <w:sz w:val="20"/>
                <w:szCs w:val="20"/>
              </w:rPr>
            </w:pPr>
            <w:r w:rsidRPr="006667F3">
              <w:rPr>
                <w:sz w:val="20"/>
                <w:szCs w:val="20"/>
              </w:rPr>
              <w:t>251</w:t>
            </w:r>
          </w:p>
        </w:tc>
        <w:tc>
          <w:tcPr>
            <w:tcW w:w="960" w:type="dxa"/>
            <w:tcBorders>
              <w:top w:val="nil"/>
              <w:left w:val="nil"/>
              <w:bottom w:val="nil"/>
              <w:right w:val="nil"/>
            </w:tcBorders>
            <w:shd w:val="clear" w:color="auto" w:fill="auto"/>
            <w:noWrap/>
            <w:vAlign w:val="bottom"/>
            <w:hideMark/>
          </w:tcPr>
          <w:p w14:paraId="5E4896FB" w14:textId="77777777" w:rsidR="006667F3" w:rsidRPr="006667F3" w:rsidRDefault="006667F3" w:rsidP="006667F3">
            <w:pPr>
              <w:tabs>
                <w:tab w:val="clear" w:pos="284"/>
              </w:tabs>
              <w:spacing w:after="0" w:line="240" w:lineRule="auto"/>
              <w:jc w:val="right"/>
              <w:rPr>
                <w:sz w:val="20"/>
                <w:szCs w:val="20"/>
              </w:rPr>
            </w:pPr>
            <w:r w:rsidRPr="006667F3">
              <w:rPr>
                <w:sz w:val="20"/>
                <w:szCs w:val="20"/>
              </w:rPr>
              <w:t>237</w:t>
            </w:r>
          </w:p>
        </w:tc>
        <w:tc>
          <w:tcPr>
            <w:tcW w:w="960" w:type="dxa"/>
            <w:tcBorders>
              <w:top w:val="nil"/>
              <w:left w:val="nil"/>
              <w:bottom w:val="nil"/>
              <w:right w:val="nil"/>
            </w:tcBorders>
            <w:shd w:val="clear" w:color="auto" w:fill="auto"/>
            <w:noWrap/>
            <w:vAlign w:val="bottom"/>
            <w:hideMark/>
          </w:tcPr>
          <w:p w14:paraId="21D4F27A" w14:textId="77777777" w:rsidR="006667F3" w:rsidRPr="006667F3" w:rsidRDefault="006667F3" w:rsidP="006667F3">
            <w:pPr>
              <w:tabs>
                <w:tab w:val="clear" w:pos="284"/>
              </w:tabs>
              <w:spacing w:after="0" w:line="240" w:lineRule="auto"/>
              <w:jc w:val="right"/>
              <w:rPr>
                <w:sz w:val="20"/>
                <w:szCs w:val="20"/>
              </w:rPr>
            </w:pPr>
            <w:r w:rsidRPr="006667F3">
              <w:rPr>
                <w:sz w:val="20"/>
                <w:szCs w:val="20"/>
              </w:rPr>
              <w:t>268</w:t>
            </w:r>
          </w:p>
        </w:tc>
        <w:tc>
          <w:tcPr>
            <w:tcW w:w="960" w:type="dxa"/>
            <w:tcBorders>
              <w:top w:val="nil"/>
              <w:left w:val="nil"/>
              <w:bottom w:val="nil"/>
              <w:right w:val="nil"/>
            </w:tcBorders>
            <w:shd w:val="clear" w:color="auto" w:fill="auto"/>
            <w:noWrap/>
            <w:vAlign w:val="bottom"/>
            <w:hideMark/>
          </w:tcPr>
          <w:p w14:paraId="0166FD41" w14:textId="77777777" w:rsidR="006667F3" w:rsidRPr="006667F3" w:rsidRDefault="006667F3" w:rsidP="006667F3">
            <w:pPr>
              <w:tabs>
                <w:tab w:val="clear" w:pos="284"/>
              </w:tabs>
              <w:spacing w:after="0" w:line="240" w:lineRule="auto"/>
              <w:jc w:val="right"/>
              <w:rPr>
                <w:sz w:val="20"/>
                <w:szCs w:val="20"/>
              </w:rPr>
            </w:pPr>
            <w:r w:rsidRPr="006667F3">
              <w:rPr>
                <w:sz w:val="20"/>
                <w:szCs w:val="20"/>
              </w:rPr>
              <w:t>230</w:t>
            </w:r>
          </w:p>
        </w:tc>
        <w:tc>
          <w:tcPr>
            <w:tcW w:w="960" w:type="dxa"/>
            <w:tcBorders>
              <w:top w:val="nil"/>
              <w:left w:val="nil"/>
              <w:bottom w:val="nil"/>
              <w:right w:val="nil"/>
            </w:tcBorders>
            <w:shd w:val="clear" w:color="auto" w:fill="auto"/>
            <w:noWrap/>
            <w:vAlign w:val="bottom"/>
            <w:hideMark/>
          </w:tcPr>
          <w:p w14:paraId="670E4C4D" w14:textId="77777777" w:rsidR="006667F3" w:rsidRPr="006667F3" w:rsidRDefault="006667F3" w:rsidP="006667F3">
            <w:pPr>
              <w:tabs>
                <w:tab w:val="clear" w:pos="284"/>
              </w:tabs>
              <w:spacing w:after="0" w:line="240" w:lineRule="auto"/>
              <w:jc w:val="right"/>
              <w:rPr>
                <w:sz w:val="20"/>
                <w:szCs w:val="20"/>
              </w:rPr>
            </w:pPr>
            <w:r w:rsidRPr="006667F3">
              <w:rPr>
                <w:sz w:val="20"/>
                <w:szCs w:val="20"/>
              </w:rPr>
              <w:t>194</w:t>
            </w:r>
          </w:p>
        </w:tc>
        <w:tc>
          <w:tcPr>
            <w:tcW w:w="960" w:type="dxa"/>
            <w:tcBorders>
              <w:top w:val="nil"/>
              <w:left w:val="nil"/>
              <w:bottom w:val="nil"/>
              <w:right w:val="nil"/>
            </w:tcBorders>
            <w:shd w:val="clear" w:color="auto" w:fill="auto"/>
            <w:noWrap/>
            <w:vAlign w:val="bottom"/>
            <w:hideMark/>
          </w:tcPr>
          <w:p w14:paraId="2A920DD3" w14:textId="77777777" w:rsidR="006667F3" w:rsidRPr="006667F3" w:rsidRDefault="006667F3" w:rsidP="006667F3">
            <w:pPr>
              <w:tabs>
                <w:tab w:val="clear" w:pos="284"/>
              </w:tabs>
              <w:spacing w:after="0" w:line="240" w:lineRule="auto"/>
              <w:jc w:val="right"/>
              <w:rPr>
                <w:sz w:val="20"/>
                <w:szCs w:val="20"/>
              </w:rPr>
            </w:pPr>
            <w:r w:rsidRPr="006667F3">
              <w:rPr>
                <w:sz w:val="20"/>
                <w:szCs w:val="20"/>
              </w:rPr>
              <w:t>186</w:t>
            </w:r>
          </w:p>
        </w:tc>
        <w:tc>
          <w:tcPr>
            <w:tcW w:w="960" w:type="dxa"/>
            <w:tcBorders>
              <w:top w:val="nil"/>
              <w:left w:val="nil"/>
              <w:bottom w:val="nil"/>
              <w:right w:val="nil"/>
            </w:tcBorders>
            <w:shd w:val="clear" w:color="auto" w:fill="auto"/>
            <w:noWrap/>
            <w:vAlign w:val="bottom"/>
            <w:hideMark/>
          </w:tcPr>
          <w:p w14:paraId="40293384" w14:textId="77777777" w:rsidR="006667F3" w:rsidRPr="006667F3" w:rsidRDefault="006667F3" w:rsidP="006667F3">
            <w:pPr>
              <w:tabs>
                <w:tab w:val="clear" w:pos="284"/>
              </w:tabs>
              <w:spacing w:after="0" w:line="240" w:lineRule="auto"/>
              <w:jc w:val="right"/>
              <w:rPr>
                <w:sz w:val="20"/>
                <w:szCs w:val="20"/>
              </w:rPr>
            </w:pPr>
            <w:r w:rsidRPr="006667F3">
              <w:rPr>
                <w:sz w:val="20"/>
                <w:szCs w:val="20"/>
              </w:rPr>
              <w:t>215</w:t>
            </w:r>
          </w:p>
        </w:tc>
        <w:tc>
          <w:tcPr>
            <w:tcW w:w="960" w:type="dxa"/>
            <w:tcBorders>
              <w:top w:val="nil"/>
              <w:left w:val="nil"/>
              <w:bottom w:val="nil"/>
              <w:right w:val="nil"/>
            </w:tcBorders>
            <w:shd w:val="clear" w:color="auto" w:fill="auto"/>
            <w:noWrap/>
            <w:vAlign w:val="bottom"/>
            <w:hideMark/>
          </w:tcPr>
          <w:p w14:paraId="07AA1CF5" w14:textId="77777777" w:rsidR="006667F3" w:rsidRPr="006667F3" w:rsidRDefault="006667F3" w:rsidP="006667F3">
            <w:pPr>
              <w:tabs>
                <w:tab w:val="clear" w:pos="284"/>
              </w:tabs>
              <w:spacing w:after="0" w:line="240" w:lineRule="auto"/>
              <w:jc w:val="right"/>
              <w:rPr>
                <w:sz w:val="20"/>
                <w:szCs w:val="20"/>
              </w:rPr>
            </w:pPr>
            <w:r w:rsidRPr="006667F3">
              <w:rPr>
                <w:sz w:val="20"/>
                <w:szCs w:val="20"/>
              </w:rPr>
              <w:t>242</w:t>
            </w:r>
          </w:p>
        </w:tc>
      </w:tr>
      <w:tr w:rsidR="006667F3" w:rsidRPr="006667F3" w14:paraId="7C7797CF" w14:textId="77777777" w:rsidTr="00140CF6">
        <w:trPr>
          <w:trHeight w:val="255"/>
        </w:trPr>
        <w:tc>
          <w:tcPr>
            <w:tcW w:w="1701" w:type="dxa"/>
            <w:tcBorders>
              <w:top w:val="nil"/>
              <w:left w:val="nil"/>
              <w:bottom w:val="nil"/>
              <w:right w:val="nil"/>
            </w:tcBorders>
            <w:shd w:val="clear" w:color="auto" w:fill="auto"/>
            <w:noWrap/>
            <w:vAlign w:val="bottom"/>
            <w:hideMark/>
          </w:tcPr>
          <w:p w14:paraId="518C1889" w14:textId="77777777" w:rsidR="006667F3" w:rsidRPr="006667F3" w:rsidRDefault="006667F3" w:rsidP="006667F3">
            <w:pPr>
              <w:tabs>
                <w:tab w:val="clear" w:pos="284"/>
              </w:tabs>
              <w:spacing w:after="0" w:line="240" w:lineRule="auto"/>
              <w:rPr>
                <w:sz w:val="20"/>
                <w:szCs w:val="20"/>
              </w:rPr>
            </w:pPr>
            <w:r w:rsidRPr="006667F3">
              <w:rPr>
                <w:sz w:val="20"/>
                <w:szCs w:val="20"/>
              </w:rPr>
              <w:t>Luxembourg</w:t>
            </w:r>
          </w:p>
        </w:tc>
        <w:tc>
          <w:tcPr>
            <w:tcW w:w="709" w:type="dxa"/>
            <w:tcBorders>
              <w:top w:val="nil"/>
              <w:left w:val="nil"/>
              <w:bottom w:val="nil"/>
              <w:right w:val="nil"/>
            </w:tcBorders>
            <w:shd w:val="clear" w:color="auto" w:fill="auto"/>
            <w:noWrap/>
            <w:vAlign w:val="bottom"/>
            <w:hideMark/>
          </w:tcPr>
          <w:p w14:paraId="06961F88" w14:textId="77777777" w:rsidR="006667F3" w:rsidRPr="006667F3" w:rsidRDefault="006667F3" w:rsidP="006667F3">
            <w:pPr>
              <w:tabs>
                <w:tab w:val="clear" w:pos="284"/>
              </w:tabs>
              <w:spacing w:after="0" w:line="240" w:lineRule="auto"/>
              <w:jc w:val="right"/>
              <w:rPr>
                <w:sz w:val="20"/>
                <w:szCs w:val="20"/>
              </w:rPr>
            </w:pPr>
            <w:r w:rsidRPr="006667F3">
              <w:rPr>
                <w:sz w:val="20"/>
                <w:szCs w:val="20"/>
              </w:rPr>
              <w:t>207</w:t>
            </w:r>
          </w:p>
        </w:tc>
        <w:tc>
          <w:tcPr>
            <w:tcW w:w="960" w:type="dxa"/>
            <w:tcBorders>
              <w:top w:val="nil"/>
              <w:left w:val="nil"/>
              <w:bottom w:val="nil"/>
              <w:right w:val="nil"/>
            </w:tcBorders>
            <w:shd w:val="clear" w:color="auto" w:fill="auto"/>
            <w:noWrap/>
            <w:vAlign w:val="bottom"/>
            <w:hideMark/>
          </w:tcPr>
          <w:p w14:paraId="48445D20" w14:textId="77777777" w:rsidR="006667F3" w:rsidRPr="006667F3" w:rsidRDefault="006667F3" w:rsidP="006667F3">
            <w:pPr>
              <w:tabs>
                <w:tab w:val="clear" w:pos="284"/>
              </w:tabs>
              <w:spacing w:after="0" w:line="240" w:lineRule="auto"/>
              <w:jc w:val="right"/>
              <w:rPr>
                <w:sz w:val="20"/>
                <w:szCs w:val="20"/>
              </w:rPr>
            </w:pPr>
            <w:r w:rsidRPr="006667F3">
              <w:rPr>
                <w:sz w:val="20"/>
                <w:szCs w:val="20"/>
              </w:rPr>
              <w:t>191</w:t>
            </w:r>
          </w:p>
        </w:tc>
        <w:tc>
          <w:tcPr>
            <w:tcW w:w="960" w:type="dxa"/>
            <w:tcBorders>
              <w:top w:val="nil"/>
              <w:left w:val="nil"/>
              <w:bottom w:val="nil"/>
              <w:right w:val="nil"/>
            </w:tcBorders>
            <w:shd w:val="clear" w:color="auto" w:fill="auto"/>
            <w:noWrap/>
            <w:vAlign w:val="bottom"/>
            <w:hideMark/>
          </w:tcPr>
          <w:p w14:paraId="01B581BA" w14:textId="77777777" w:rsidR="006667F3" w:rsidRPr="006667F3" w:rsidRDefault="006667F3" w:rsidP="006667F3">
            <w:pPr>
              <w:tabs>
                <w:tab w:val="clear" w:pos="284"/>
              </w:tabs>
              <w:spacing w:after="0" w:line="240" w:lineRule="auto"/>
              <w:jc w:val="right"/>
              <w:rPr>
                <w:sz w:val="20"/>
                <w:szCs w:val="20"/>
              </w:rPr>
            </w:pPr>
            <w:r w:rsidRPr="006667F3">
              <w:rPr>
                <w:sz w:val="20"/>
                <w:szCs w:val="20"/>
              </w:rPr>
              <w:t>207</w:t>
            </w:r>
          </w:p>
        </w:tc>
        <w:tc>
          <w:tcPr>
            <w:tcW w:w="960" w:type="dxa"/>
            <w:tcBorders>
              <w:top w:val="nil"/>
              <w:left w:val="nil"/>
              <w:bottom w:val="nil"/>
              <w:right w:val="nil"/>
            </w:tcBorders>
            <w:shd w:val="clear" w:color="auto" w:fill="auto"/>
            <w:noWrap/>
            <w:vAlign w:val="bottom"/>
            <w:hideMark/>
          </w:tcPr>
          <w:p w14:paraId="2B3E5BAB" w14:textId="77777777" w:rsidR="006667F3" w:rsidRPr="006667F3" w:rsidRDefault="006667F3" w:rsidP="006667F3">
            <w:pPr>
              <w:tabs>
                <w:tab w:val="clear" w:pos="284"/>
              </w:tabs>
              <w:spacing w:after="0" w:line="240" w:lineRule="auto"/>
              <w:jc w:val="right"/>
              <w:rPr>
                <w:sz w:val="20"/>
                <w:szCs w:val="20"/>
              </w:rPr>
            </w:pPr>
            <w:r w:rsidRPr="006667F3">
              <w:rPr>
                <w:sz w:val="20"/>
                <w:szCs w:val="20"/>
              </w:rPr>
              <w:t>184</w:t>
            </w:r>
          </w:p>
        </w:tc>
        <w:tc>
          <w:tcPr>
            <w:tcW w:w="960" w:type="dxa"/>
            <w:tcBorders>
              <w:top w:val="nil"/>
              <w:left w:val="nil"/>
              <w:bottom w:val="nil"/>
              <w:right w:val="nil"/>
            </w:tcBorders>
            <w:shd w:val="clear" w:color="auto" w:fill="auto"/>
            <w:noWrap/>
            <w:vAlign w:val="bottom"/>
            <w:hideMark/>
          </w:tcPr>
          <w:p w14:paraId="124F7137" w14:textId="77777777" w:rsidR="006667F3" w:rsidRPr="006667F3" w:rsidRDefault="006667F3" w:rsidP="006667F3">
            <w:pPr>
              <w:tabs>
                <w:tab w:val="clear" w:pos="284"/>
              </w:tabs>
              <w:spacing w:after="0" w:line="240" w:lineRule="auto"/>
              <w:jc w:val="right"/>
              <w:rPr>
                <w:sz w:val="20"/>
                <w:szCs w:val="20"/>
              </w:rPr>
            </w:pPr>
            <w:r w:rsidRPr="006667F3">
              <w:rPr>
                <w:sz w:val="20"/>
                <w:szCs w:val="20"/>
              </w:rPr>
              <w:t>156</w:t>
            </w:r>
          </w:p>
        </w:tc>
        <w:tc>
          <w:tcPr>
            <w:tcW w:w="960" w:type="dxa"/>
            <w:tcBorders>
              <w:top w:val="nil"/>
              <w:left w:val="nil"/>
              <w:bottom w:val="nil"/>
              <w:right w:val="nil"/>
            </w:tcBorders>
            <w:shd w:val="clear" w:color="auto" w:fill="auto"/>
            <w:noWrap/>
            <w:vAlign w:val="bottom"/>
            <w:hideMark/>
          </w:tcPr>
          <w:p w14:paraId="0CB6F70B" w14:textId="77777777" w:rsidR="006667F3" w:rsidRPr="006667F3" w:rsidRDefault="006667F3" w:rsidP="006667F3">
            <w:pPr>
              <w:tabs>
                <w:tab w:val="clear" w:pos="284"/>
              </w:tabs>
              <w:spacing w:after="0" w:line="240" w:lineRule="auto"/>
              <w:jc w:val="right"/>
              <w:rPr>
                <w:sz w:val="20"/>
                <w:szCs w:val="20"/>
              </w:rPr>
            </w:pPr>
            <w:r w:rsidRPr="006667F3">
              <w:rPr>
                <w:sz w:val="20"/>
                <w:szCs w:val="20"/>
              </w:rPr>
              <w:t>150</w:t>
            </w:r>
          </w:p>
        </w:tc>
        <w:tc>
          <w:tcPr>
            <w:tcW w:w="960" w:type="dxa"/>
            <w:tcBorders>
              <w:top w:val="nil"/>
              <w:left w:val="nil"/>
              <w:bottom w:val="nil"/>
              <w:right w:val="nil"/>
            </w:tcBorders>
            <w:shd w:val="clear" w:color="auto" w:fill="auto"/>
            <w:noWrap/>
            <w:vAlign w:val="bottom"/>
            <w:hideMark/>
          </w:tcPr>
          <w:p w14:paraId="62300CFA" w14:textId="77777777" w:rsidR="006667F3" w:rsidRPr="006667F3" w:rsidRDefault="006667F3" w:rsidP="006667F3">
            <w:pPr>
              <w:tabs>
                <w:tab w:val="clear" w:pos="284"/>
              </w:tabs>
              <w:spacing w:after="0" w:line="240" w:lineRule="auto"/>
              <w:jc w:val="right"/>
              <w:rPr>
                <w:sz w:val="20"/>
                <w:szCs w:val="20"/>
              </w:rPr>
            </w:pPr>
            <w:r w:rsidRPr="006667F3">
              <w:rPr>
                <w:sz w:val="20"/>
                <w:szCs w:val="20"/>
              </w:rPr>
              <w:t>175</w:t>
            </w:r>
          </w:p>
        </w:tc>
        <w:tc>
          <w:tcPr>
            <w:tcW w:w="960" w:type="dxa"/>
            <w:tcBorders>
              <w:top w:val="nil"/>
              <w:left w:val="nil"/>
              <w:bottom w:val="nil"/>
              <w:right w:val="nil"/>
            </w:tcBorders>
            <w:shd w:val="clear" w:color="auto" w:fill="auto"/>
            <w:noWrap/>
            <w:vAlign w:val="bottom"/>
            <w:hideMark/>
          </w:tcPr>
          <w:p w14:paraId="686EC48F" w14:textId="77777777" w:rsidR="006667F3" w:rsidRPr="006667F3" w:rsidRDefault="006667F3" w:rsidP="006667F3">
            <w:pPr>
              <w:tabs>
                <w:tab w:val="clear" w:pos="284"/>
              </w:tabs>
              <w:spacing w:after="0" w:line="240" w:lineRule="auto"/>
              <w:jc w:val="right"/>
              <w:rPr>
                <w:sz w:val="20"/>
                <w:szCs w:val="20"/>
              </w:rPr>
            </w:pPr>
            <w:r w:rsidRPr="006667F3">
              <w:rPr>
                <w:sz w:val="20"/>
                <w:szCs w:val="20"/>
              </w:rPr>
              <w:t>197</w:t>
            </w:r>
          </w:p>
        </w:tc>
      </w:tr>
      <w:tr w:rsidR="006667F3" w:rsidRPr="006667F3" w14:paraId="49A80110" w14:textId="77777777" w:rsidTr="00140CF6">
        <w:trPr>
          <w:trHeight w:val="255"/>
        </w:trPr>
        <w:tc>
          <w:tcPr>
            <w:tcW w:w="1701" w:type="dxa"/>
            <w:tcBorders>
              <w:top w:val="nil"/>
              <w:left w:val="nil"/>
              <w:bottom w:val="nil"/>
              <w:right w:val="nil"/>
            </w:tcBorders>
            <w:shd w:val="clear" w:color="auto" w:fill="auto"/>
            <w:noWrap/>
            <w:vAlign w:val="bottom"/>
            <w:hideMark/>
          </w:tcPr>
          <w:p w14:paraId="1307D5B1" w14:textId="77777777" w:rsidR="006667F3" w:rsidRPr="006667F3" w:rsidRDefault="006667F3" w:rsidP="006667F3">
            <w:pPr>
              <w:tabs>
                <w:tab w:val="clear" w:pos="284"/>
              </w:tabs>
              <w:spacing w:after="0" w:line="240" w:lineRule="auto"/>
              <w:rPr>
                <w:sz w:val="20"/>
                <w:szCs w:val="20"/>
              </w:rPr>
            </w:pPr>
            <w:r w:rsidRPr="006667F3">
              <w:rPr>
                <w:sz w:val="20"/>
                <w:szCs w:val="20"/>
              </w:rPr>
              <w:t>Sweden</w:t>
            </w:r>
          </w:p>
        </w:tc>
        <w:tc>
          <w:tcPr>
            <w:tcW w:w="709" w:type="dxa"/>
            <w:tcBorders>
              <w:top w:val="nil"/>
              <w:left w:val="nil"/>
              <w:bottom w:val="nil"/>
              <w:right w:val="nil"/>
            </w:tcBorders>
            <w:shd w:val="clear" w:color="auto" w:fill="auto"/>
            <w:noWrap/>
            <w:vAlign w:val="bottom"/>
            <w:hideMark/>
          </w:tcPr>
          <w:p w14:paraId="2E9D9396" w14:textId="77777777" w:rsidR="006667F3" w:rsidRPr="006667F3" w:rsidRDefault="006667F3" w:rsidP="006667F3">
            <w:pPr>
              <w:tabs>
                <w:tab w:val="clear" w:pos="284"/>
              </w:tabs>
              <w:spacing w:after="0" w:line="240" w:lineRule="auto"/>
              <w:jc w:val="right"/>
              <w:rPr>
                <w:sz w:val="20"/>
                <w:szCs w:val="20"/>
              </w:rPr>
            </w:pPr>
            <w:r w:rsidRPr="006667F3">
              <w:rPr>
                <w:sz w:val="20"/>
                <w:szCs w:val="20"/>
              </w:rPr>
              <w:t>123</w:t>
            </w:r>
          </w:p>
        </w:tc>
        <w:tc>
          <w:tcPr>
            <w:tcW w:w="960" w:type="dxa"/>
            <w:tcBorders>
              <w:top w:val="nil"/>
              <w:left w:val="nil"/>
              <w:bottom w:val="nil"/>
              <w:right w:val="nil"/>
            </w:tcBorders>
            <w:shd w:val="clear" w:color="auto" w:fill="auto"/>
            <w:noWrap/>
            <w:vAlign w:val="bottom"/>
            <w:hideMark/>
          </w:tcPr>
          <w:p w14:paraId="6E33A261" w14:textId="77777777" w:rsidR="006667F3" w:rsidRPr="006667F3" w:rsidRDefault="006667F3" w:rsidP="006667F3">
            <w:pPr>
              <w:tabs>
                <w:tab w:val="clear" w:pos="284"/>
              </w:tabs>
              <w:spacing w:after="0" w:line="240" w:lineRule="auto"/>
              <w:jc w:val="right"/>
              <w:rPr>
                <w:sz w:val="20"/>
                <w:szCs w:val="20"/>
              </w:rPr>
            </w:pPr>
            <w:r w:rsidRPr="006667F3">
              <w:rPr>
                <w:sz w:val="20"/>
                <w:szCs w:val="20"/>
              </w:rPr>
              <w:t>136</w:t>
            </w:r>
          </w:p>
        </w:tc>
        <w:tc>
          <w:tcPr>
            <w:tcW w:w="960" w:type="dxa"/>
            <w:tcBorders>
              <w:top w:val="nil"/>
              <w:left w:val="nil"/>
              <w:bottom w:val="nil"/>
              <w:right w:val="nil"/>
            </w:tcBorders>
            <w:shd w:val="clear" w:color="auto" w:fill="auto"/>
            <w:noWrap/>
            <w:vAlign w:val="bottom"/>
            <w:hideMark/>
          </w:tcPr>
          <w:p w14:paraId="4DE9489E" w14:textId="77777777" w:rsidR="006667F3" w:rsidRPr="006667F3" w:rsidRDefault="006667F3" w:rsidP="006667F3">
            <w:pPr>
              <w:tabs>
                <w:tab w:val="clear" w:pos="284"/>
              </w:tabs>
              <w:spacing w:after="0" w:line="240" w:lineRule="auto"/>
              <w:jc w:val="right"/>
              <w:rPr>
                <w:sz w:val="20"/>
                <w:szCs w:val="20"/>
              </w:rPr>
            </w:pPr>
            <w:r w:rsidRPr="006667F3">
              <w:rPr>
                <w:sz w:val="20"/>
                <w:szCs w:val="20"/>
              </w:rPr>
              <w:t>145</w:t>
            </w:r>
          </w:p>
        </w:tc>
        <w:tc>
          <w:tcPr>
            <w:tcW w:w="960" w:type="dxa"/>
            <w:tcBorders>
              <w:top w:val="nil"/>
              <w:left w:val="nil"/>
              <w:bottom w:val="nil"/>
              <w:right w:val="nil"/>
            </w:tcBorders>
            <w:shd w:val="clear" w:color="auto" w:fill="auto"/>
            <w:noWrap/>
            <w:vAlign w:val="bottom"/>
            <w:hideMark/>
          </w:tcPr>
          <w:p w14:paraId="0993A61A" w14:textId="77777777" w:rsidR="006667F3" w:rsidRPr="006667F3" w:rsidRDefault="006667F3" w:rsidP="006667F3">
            <w:pPr>
              <w:tabs>
                <w:tab w:val="clear" w:pos="284"/>
              </w:tabs>
              <w:spacing w:after="0" w:line="240" w:lineRule="auto"/>
              <w:jc w:val="right"/>
              <w:rPr>
                <w:sz w:val="20"/>
                <w:szCs w:val="20"/>
              </w:rPr>
            </w:pPr>
            <w:r w:rsidRPr="006667F3">
              <w:rPr>
                <w:sz w:val="20"/>
                <w:szCs w:val="20"/>
              </w:rPr>
              <w:t>142</w:t>
            </w:r>
          </w:p>
        </w:tc>
        <w:tc>
          <w:tcPr>
            <w:tcW w:w="960" w:type="dxa"/>
            <w:tcBorders>
              <w:top w:val="nil"/>
              <w:left w:val="nil"/>
              <w:bottom w:val="nil"/>
              <w:right w:val="nil"/>
            </w:tcBorders>
            <w:shd w:val="clear" w:color="auto" w:fill="auto"/>
            <w:noWrap/>
            <w:vAlign w:val="bottom"/>
            <w:hideMark/>
          </w:tcPr>
          <w:p w14:paraId="0057D89D" w14:textId="77777777" w:rsidR="006667F3" w:rsidRPr="006667F3" w:rsidRDefault="006667F3" w:rsidP="006667F3">
            <w:pPr>
              <w:tabs>
                <w:tab w:val="clear" w:pos="284"/>
              </w:tabs>
              <w:spacing w:after="0" w:line="240" w:lineRule="auto"/>
              <w:jc w:val="right"/>
              <w:rPr>
                <w:sz w:val="20"/>
                <w:szCs w:val="20"/>
              </w:rPr>
            </w:pPr>
            <w:r w:rsidRPr="006667F3">
              <w:rPr>
                <w:sz w:val="20"/>
                <w:szCs w:val="20"/>
              </w:rPr>
              <w:t>132</w:t>
            </w:r>
          </w:p>
        </w:tc>
        <w:tc>
          <w:tcPr>
            <w:tcW w:w="960" w:type="dxa"/>
            <w:tcBorders>
              <w:top w:val="nil"/>
              <w:left w:val="nil"/>
              <w:bottom w:val="nil"/>
              <w:right w:val="nil"/>
            </w:tcBorders>
            <w:shd w:val="clear" w:color="auto" w:fill="auto"/>
            <w:noWrap/>
            <w:vAlign w:val="bottom"/>
            <w:hideMark/>
          </w:tcPr>
          <w:p w14:paraId="451DB61C" w14:textId="77777777" w:rsidR="006667F3" w:rsidRPr="006667F3" w:rsidRDefault="006667F3" w:rsidP="006667F3">
            <w:pPr>
              <w:tabs>
                <w:tab w:val="clear" w:pos="284"/>
              </w:tabs>
              <w:spacing w:after="0" w:line="240" w:lineRule="auto"/>
              <w:jc w:val="right"/>
              <w:rPr>
                <w:sz w:val="20"/>
                <w:szCs w:val="20"/>
              </w:rPr>
            </w:pPr>
            <w:r w:rsidRPr="006667F3">
              <w:rPr>
                <w:sz w:val="20"/>
                <w:szCs w:val="20"/>
              </w:rPr>
              <w:t>113</w:t>
            </w:r>
          </w:p>
        </w:tc>
        <w:tc>
          <w:tcPr>
            <w:tcW w:w="960" w:type="dxa"/>
            <w:tcBorders>
              <w:top w:val="nil"/>
              <w:left w:val="nil"/>
              <w:bottom w:val="nil"/>
              <w:right w:val="nil"/>
            </w:tcBorders>
            <w:shd w:val="clear" w:color="auto" w:fill="auto"/>
            <w:noWrap/>
            <w:vAlign w:val="bottom"/>
            <w:hideMark/>
          </w:tcPr>
          <w:p w14:paraId="1FE0170F" w14:textId="77777777" w:rsidR="006667F3" w:rsidRPr="006667F3" w:rsidRDefault="006667F3" w:rsidP="006667F3">
            <w:pPr>
              <w:tabs>
                <w:tab w:val="clear" w:pos="284"/>
              </w:tabs>
              <w:spacing w:after="0" w:line="240" w:lineRule="auto"/>
              <w:jc w:val="right"/>
              <w:rPr>
                <w:sz w:val="20"/>
                <w:szCs w:val="20"/>
              </w:rPr>
            </w:pPr>
            <w:r w:rsidRPr="006667F3">
              <w:rPr>
                <w:sz w:val="20"/>
                <w:szCs w:val="20"/>
              </w:rPr>
              <w:t>141</w:t>
            </w:r>
          </w:p>
        </w:tc>
        <w:tc>
          <w:tcPr>
            <w:tcW w:w="960" w:type="dxa"/>
            <w:tcBorders>
              <w:top w:val="nil"/>
              <w:left w:val="nil"/>
              <w:bottom w:val="nil"/>
              <w:right w:val="nil"/>
            </w:tcBorders>
            <w:shd w:val="clear" w:color="auto" w:fill="auto"/>
            <w:noWrap/>
            <w:vAlign w:val="bottom"/>
            <w:hideMark/>
          </w:tcPr>
          <w:p w14:paraId="72E155DD" w14:textId="77777777" w:rsidR="006667F3" w:rsidRPr="006667F3" w:rsidRDefault="006667F3" w:rsidP="006667F3">
            <w:pPr>
              <w:tabs>
                <w:tab w:val="clear" w:pos="284"/>
              </w:tabs>
              <w:spacing w:after="0" w:line="240" w:lineRule="auto"/>
              <w:jc w:val="right"/>
              <w:rPr>
                <w:sz w:val="20"/>
                <w:szCs w:val="20"/>
              </w:rPr>
            </w:pPr>
            <w:r w:rsidRPr="006667F3">
              <w:rPr>
                <w:sz w:val="20"/>
                <w:szCs w:val="20"/>
              </w:rPr>
              <w:t>180</w:t>
            </w:r>
          </w:p>
        </w:tc>
      </w:tr>
      <w:tr w:rsidR="006667F3" w:rsidRPr="006667F3" w14:paraId="4E7D094F" w14:textId="77777777" w:rsidTr="00140CF6">
        <w:trPr>
          <w:trHeight w:val="255"/>
        </w:trPr>
        <w:tc>
          <w:tcPr>
            <w:tcW w:w="1701" w:type="dxa"/>
            <w:tcBorders>
              <w:top w:val="nil"/>
              <w:left w:val="nil"/>
              <w:bottom w:val="nil"/>
              <w:right w:val="nil"/>
            </w:tcBorders>
            <w:shd w:val="clear" w:color="auto" w:fill="auto"/>
            <w:noWrap/>
            <w:vAlign w:val="bottom"/>
            <w:hideMark/>
          </w:tcPr>
          <w:p w14:paraId="4D3D8D5E" w14:textId="77777777" w:rsidR="006667F3" w:rsidRPr="006667F3" w:rsidRDefault="006667F3" w:rsidP="006667F3">
            <w:pPr>
              <w:tabs>
                <w:tab w:val="clear" w:pos="284"/>
              </w:tabs>
              <w:spacing w:after="0" w:line="240" w:lineRule="auto"/>
              <w:rPr>
                <w:sz w:val="20"/>
                <w:szCs w:val="20"/>
              </w:rPr>
            </w:pPr>
            <w:r w:rsidRPr="006667F3">
              <w:rPr>
                <w:sz w:val="20"/>
                <w:szCs w:val="20"/>
              </w:rPr>
              <w:t>Denmark</w:t>
            </w:r>
          </w:p>
        </w:tc>
        <w:tc>
          <w:tcPr>
            <w:tcW w:w="709" w:type="dxa"/>
            <w:tcBorders>
              <w:top w:val="nil"/>
              <w:left w:val="nil"/>
              <w:bottom w:val="nil"/>
              <w:right w:val="nil"/>
            </w:tcBorders>
            <w:shd w:val="clear" w:color="auto" w:fill="auto"/>
            <w:noWrap/>
            <w:vAlign w:val="bottom"/>
            <w:hideMark/>
          </w:tcPr>
          <w:p w14:paraId="4D651EB9" w14:textId="77777777" w:rsidR="006667F3" w:rsidRPr="006667F3" w:rsidRDefault="006667F3" w:rsidP="006667F3">
            <w:pPr>
              <w:tabs>
                <w:tab w:val="clear" w:pos="284"/>
              </w:tabs>
              <w:spacing w:after="0" w:line="240" w:lineRule="auto"/>
              <w:jc w:val="right"/>
              <w:rPr>
                <w:sz w:val="20"/>
                <w:szCs w:val="20"/>
              </w:rPr>
            </w:pPr>
            <w:r w:rsidRPr="006667F3">
              <w:rPr>
                <w:sz w:val="20"/>
                <w:szCs w:val="20"/>
              </w:rPr>
              <w:t>84</w:t>
            </w:r>
          </w:p>
        </w:tc>
        <w:tc>
          <w:tcPr>
            <w:tcW w:w="960" w:type="dxa"/>
            <w:tcBorders>
              <w:top w:val="nil"/>
              <w:left w:val="nil"/>
              <w:bottom w:val="nil"/>
              <w:right w:val="nil"/>
            </w:tcBorders>
            <w:shd w:val="clear" w:color="auto" w:fill="auto"/>
            <w:noWrap/>
            <w:vAlign w:val="bottom"/>
            <w:hideMark/>
          </w:tcPr>
          <w:p w14:paraId="3B58754D" w14:textId="77777777" w:rsidR="006667F3" w:rsidRPr="006667F3" w:rsidRDefault="006667F3" w:rsidP="006667F3">
            <w:pPr>
              <w:tabs>
                <w:tab w:val="clear" w:pos="284"/>
              </w:tabs>
              <w:spacing w:after="0" w:line="240" w:lineRule="auto"/>
              <w:jc w:val="right"/>
              <w:rPr>
                <w:sz w:val="20"/>
                <w:szCs w:val="20"/>
              </w:rPr>
            </w:pPr>
            <w:r w:rsidRPr="006667F3">
              <w:rPr>
                <w:sz w:val="20"/>
                <w:szCs w:val="20"/>
              </w:rPr>
              <w:t>86</w:t>
            </w:r>
          </w:p>
        </w:tc>
        <w:tc>
          <w:tcPr>
            <w:tcW w:w="960" w:type="dxa"/>
            <w:tcBorders>
              <w:top w:val="nil"/>
              <w:left w:val="nil"/>
              <w:bottom w:val="nil"/>
              <w:right w:val="nil"/>
            </w:tcBorders>
            <w:shd w:val="clear" w:color="auto" w:fill="auto"/>
            <w:noWrap/>
            <w:vAlign w:val="bottom"/>
            <w:hideMark/>
          </w:tcPr>
          <w:p w14:paraId="4B98D97F" w14:textId="77777777" w:rsidR="006667F3" w:rsidRPr="006667F3" w:rsidRDefault="006667F3" w:rsidP="006667F3">
            <w:pPr>
              <w:tabs>
                <w:tab w:val="clear" w:pos="284"/>
              </w:tabs>
              <w:spacing w:after="0" w:line="240" w:lineRule="auto"/>
              <w:jc w:val="right"/>
              <w:rPr>
                <w:sz w:val="20"/>
                <w:szCs w:val="20"/>
              </w:rPr>
            </w:pPr>
            <w:r w:rsidRPr="006667F3">
              <w:rPr>
                <w:sz w:val="20"/>
                <w:szCs w:val="20"/>
              </w:rPr>
              <w:t>96</w:t>
            </w:r>
          </w:p>
        </w:tc>
        <w:tc>
          <w:tcPr>
            <w:tcW w:w="960" w:type="dxa"/>
            <w:tcBorders>
              <w:top w:val="nil"/>
              <w:left w:val="nil"/>
              <w:bottom w:val="nil"/>
              <w:right w:val="nil"/>
            </w:tcBorders>
            <w:shd w:val="clear" w:color="auto" w:fill="auto"/>
            <w:noWrap/>
            <w:vAlign w:val="bottom"/>
            <w:hideMark/>
          </w:tcPr>
          <w:p w14:paraId="41DCC4C3" w14:textId="77777777" w:rsidR="006667F3" w:rsidRPr="006667F3" w:rsidRDefault="006667F3" w:rsidP="006667F3">
            <w:pPr>
              <w:tabs>
                <w:tab w:val="clear" w:pos="284"/>
              </w:tabs>
              <w:spacing w:after="0" w:line="240" w:lineRule="auto"/>
              <w:jc w:val="right"/>
              <w:rPr>
                <w:sz w:val="20"/>
                <w:szCs w:val="20"/>
              </w:rPr>
            </w:pPr>
            <w:r w:rsidRPr="006667F3">
              <w:rPr>
                <w:sz w:val="20"/>
                <w:szCs w:val="20"/>
              </w:rPr>
              <w:t>117</w:t>
            </w:r>
          </w:p>
        </w:tc>
        <w:tc>
          <w:tcPr>
            <w:tcW w:w="960" w:type="dxa"/>
            <w:tcBorders>
              <w:top w:val="nil"/>
              <w:left w:val="nil"/>
              <w:bottom w:val="nil"/>
              <w:right w:val="nil"/>
            </w:tcBorders>
            <w:shd w:val="clear" w:color="auto" w:fill="auto"/>
            <w:noWrap/>
            <w:vAlign w:val="bottom"/>
            <w:hideMark/>
          </w:tcPr>
          <w:p w14:paraId="4D754EB2" w14:textId="77777777" w:rsidR="006667F3" w:rsidRPr="006667F3" w:rsidRDefault="006667F3" w:rsidP="006667F3">
            <w:pPr>
              <w:tabs>
                <w:tab w:val="clear" w:pos="284"/>
              </w:tabs>
              <w:spacing w:after="0" w:line="240" w:lineRule="auto"/>
              <w:jc w:val="right"/>
              <w:rPr>
                <w:sz w:val="20"/>
                <w:szCs w:val="20"/>
              </w:rPr>
            </w:pPr>
            <w:r w:rsidRPr="006667F3">
              <w:rPr>
                <w:sz w:val="20"/>
                <w:szCs w:val="20"/>
              </w:rPr>
              <w:t>72</w:t>
            </w:r>
          </w:p>
        </w:tc>
        <w:tc>
          <w:tcPr>
            <w:tcW w:w="960" w:type="dxa"/>
            <w:tcBorders>
              <w:top w:val="nil"/>
              <w:left w:val="nil"/>
              <w:bottom w:val="nil"/>
              <w:right w:val="nil"/>
            </w:tcBorders>
            <w:shd w:val="clear" w:color="auto" w:fill="auto"/>
            <w:noWrap/>
            <w:vAlign w:val="bottom"/>
            <w:hideMark/>
          </w:tcPr>
          <w:p w14:paraId="2858E50C" w14:textId="77777777" w:rsidR="006667F3" w:rsidRPr="006667F3" w:rsidRDefault="006667F3" w:rsidP="006667F3">
            <w:pPr>
              <w:tabs>
                <w:tab w:val="clear" w:pos="284"/>
              </w:tabs>
              <w:spacing w:after="0" w:line="240" w:lineRule="auto"/>
              <w:jc w:val="right"/>
              <w:rPr>
                <w:sz w:val="20"/>
                <w:szCs w:val="20"/>
              </w:rPr>
            </w:pPr>
            <w:r w:rsidRPr="006667F3">
              <w:rPr>
                <w:sz w:val="20"/>
                <w:szCs w:val="20"/>
              </w:rPr>
              <w:t>72</w:t>
            </w:r>
          </w:p>
        </w:tc>
        <w:tc>
          <w:tcPr>
            <w:tcW w:w="960" w:type="dxa"/>
            <w:tcBorders>
              <w:top w:val="nil"/>
              <w:left w:val="nil"/>
              <w:bottom w:val="nil"/>
              <w:right w:val="nil"/>
            </w:tcBorders>
            <w:shd w:val="clear" w:color="auto" w:fill="auto"/>
            <w:noWrap/>
            <w:vAlign w:val="bottom"/>
            <w:hideMark/>
          </w:tcPr>
          <w:p w14:paraId="7557C3CA" w14:textId="77777777" w:rsidR="006667F3" w:rsidRPr="006667F3" w:rsidRDefault="006667F3" w:rsidP="006667F3">
            <w:pPr>
              <w:tabs>
                <w:tab w:val="clear" w:pos="284"/>
              </w:tabs>
              <w:spacing w:after="0" w:line="240" w:lineRule="auto"/>
              <w:jc w:val="right"/>
              <w:rPr>
                <w:sz w:val="20"/>
                <w:szCs w:val="20"/>
              </w:rPr>
            </w:pPr>
            <w:r w:rsidRPr="006667F3">
              <w:rPr>
                <w:sz w:val="20"/>
                <w:szCs w:val="20"/>
              </w:rPr>
              <w:t>95</w:t>
            </w:r>
          </w:p>
        </w:tc>
        <w:tc>
          <w:tcPr>
            <w:tcW w:w="960" w:type="dxa"/>
            <w:tcBorders>
              <w:top w:val="nil"/>
              <w:left w:val="nil"/>
              <w:bottom w:val="nil"/>
              <w:right w:val="nil"/>
            </w:tcBorders>
            <w:shd w:val="clear" w:color="auto" w:fill="auto"/>
            <w:noWrap/>
            <w:vAlign w:val="bottom"/>
            <w:hideMark/>
          </w:tcPr>
          <w:p w14:paraId="42FF12B2" w14:textId="77777777" w:rsidR="006667F3" w:rsidRPr="006667F3" w:rsidRDefault="006667F3" w:rsidP="006667F3">
            <w:pPr>
              <w:tabs>
                <w:tab w:val="clear" w:pos="284"/>
              </w:tabs>
              <w:spacing w:after="0" w:line="240" w:lineRule="auto"/>
              <w:jc w:val="right"/>
              <w:rPr>
                <w:sz w:val="20"/>
                <w:szCs w:val="20"/>
              </w:rPr>
            </w:pPr>
            <w:r w:rsidRPr="006667F3">
              <w:rPr>
                <w:sz w:val="20"/>
                <w:szCs w:val="20"/>
              </w:rPr>
              <w:t>99</w:t>
            </w:r>
          </w:p>
        </w:tc>
      </w:tr>
      <w:tr w:rsidR="006667F3" w:rsidRPr="006667F3" w14:paraId="63F73C6E" w14:textId="77777777" w:rsidTr="00140CF6">
        <w:trPr>
          <w:trHeight w:val="255"/>
        </w:trPr>
        <w:tc>
          <w:tcPr>
            <w:tcW w:w="1701" w:type="dxa"/>
            <w:tcBorders>
              <w:top w:val="nil"/>
              <w:left w:val="nil"/>
              <w:bottom w:val="nil"/>
              <w:right w:val="nil"/>
            </w:tcBorders>
            <w:shd w:val="clear" w:color="auto" w:fill="auto"/>
            <w:noWrap/>
            <w:vAlign w:val="bottom"/>
            <w:hideMark/>
          </w:tcPr>
          <w:p w14:paraId="2DDB02F4" w14:textId="77777777" w:rsidR="006667F3" w:rsidRPr="006667F3" w:rsidRDefault="006667F3" w:rsidP="006667F3">
            <w:pPr>
              <w:tabs>
                <w:tab w:val="clear" w:pos="284"/>
              </w:tabs>
              <w:spacing w:after="0" w:line="240" w:lineRule="auto"/>
              <w:rPr>
                <w:sz w:val="20"/>
                <w:szCs w:val="20"/>
              </w:rPr>
            </w:pPr>
            <w:r w:rsidRPr="006667F3">
              <w:rPr>
                <w:sz w:val="20"/>
                <w:szCs w:val="20"/>
              </w:rPr>
              <w:t>Iceland</w:t>
            </w:r>
          </w:p>
        </w:tc>
        <w:tc>
          <w:tcPr>
            <w:tcW w:w="709" w:type="dxa"/>
            <w:tcBorders>
              <w:top w:val="nil"/>
              <w:left w:val="nil"/>
              <w:bottom w:val="nil"/>
              <w:right w:val="nil"/>
            </w:tcBorders>
            <w:shd w:val="clear" w:color="auto" w:fill="auto"/>
            <w:noWrap/>
            <w:vAlign w:val="bottom"/>
            <w:hideMark/>
          </w:tcPr>
          <w:p w14:paraId="460D09A8" w14:textId="77777777" w:rsidR="006667F3" w:rsidRPr="006667F3" w:rsidRDefault="006667F3" w:rsidP="006667F3">
            <w:pPr>
              <w:tabs>
                <w:tab w:val="clear" w:pos="284"/>
              </w:tabs>
              <w:spacing w:after="0" w:line="240" w:lineRule="auto"/>
              <w:jc w:val="right"/>
              <w:rPr>
                <w:sz w:val="20"/>
                <w:szCs w:val="20"/>
              </w:rPr>
            </w:pPr>
            <w:r w:rsidRPr="006667F3">
              <w:rPr>
                <w:sz w:val="20"/>
                <w:szCs w:val="20"/>
              </w:rPr>
              <w:t>29</w:t>
            </w:r>
          </w:p>
        </w:tc>
        <w:tc>
          <w:tcPr>
            <w:tcW w:w="960" w:type="dxa"/>
            <w:tcBorders>
              <w:top w:val="nil"/>
              <w:left w:val="nil"/>
              <w:bottom w:val="nil"/>
              <w:right w:val="nil"/>
            </w:tcBorders>
            <w:shd w:val="clear" w:color="auto" w:fill="auto"/>
            <w:noWrap/>
            <w:vAlign w:val="bottom"/>
            <w:hideMark/>
          </w:tcPr>
          <w:p w14:paraId="7D3842A7" w14:textId="77777777" w:rsidR="006667F3" w:rsidRPr="006667F3" w:rsidRDefault="006667F3" w:rsidP="006667F3">
            <w:pPr>
              <w:tabs>
                <w:tab w:val="clear" w:pos="284"/>
              </w:tabs>
              <w:spacing w:after="0" w:line="240" w:lineRule="auto"/>
              <w:jc w:val="right"/>
              <w:rPr>
                <w:sz w:val="20"/>
                <w:szCs w:val="20"/>
              </w:rPr>
            </w:pPr>
            <w:r w:rsidRPr="006667F3">
              <w:rPr>
                <w:sz w:val="20"/>
                <w:szCs w:val="20"/>
              </w:rPr>
              <w:t>28</w:t>
            </w:r>
          </w:p>
        </w:tc>
        <w:tc>
          <w:tcPr>
            <w:tcW w:w="960" w:type="dxa"/>
            <w:tcBorders>
              <w:top w:val="nil"/>
              <w:left w:val="nil"/>
              <w:bottom w:val="nil"/>
              <w:right w:val="nil"/>
            </w:tcBorders>
            <w:shd w:val="clear" w:color="auto" w:fill="auto"/>
            <w:noWrap/>
            <w:vAlign w:val="bottom"/>
            <w:hideMark/>
          </w:tcPr>
          <w:p w14:paraId="7261EB97" w14:textId="77777777" w:rsidR="006667F3" w:rsidRPr="006667F3" w:rsidRDefault="006667F3" w:rsidP="006667F3">
            <w:pPr>
              <w:tabs>
                <w:tab w:val="clear" w:pos="284"/>
              </w:tabs>
              <w:spacing w:after="0" w:line="240" w:lineRule="auto"/>
              <w:jc w:val="right"/>
              <w:rPr>
                <w:sz w:val="20"/>
                <w:szCs w:val="20"/>
              </w:rPr>
            </w:pPr>
            <w:r w:rsidRPr="006667F3">
              <w:rPr>
                <w:sz w:val="20"/>
                <w:szCs w:val="20"/>
              </w:rPr>
              <w:t>34</w:t>
            </w:r>
          </w:p>
        </w:tc>
        <w:tc>
          <w:tcPr>
            <w:tcW w:w="960" w:type="dxa"/>
            <w:tcBorders>
              <w:top w:val="nil"/>
              <w:left w:val="nil"/>
              <w:bottom w:val="nil"/>
              <w:right w:val="nil"/>
            </w:tcBorders>
            <w:shd w:val="clear" w:color="auto" w:fill="auto"/>
            <w:noWrap/>
            <w:vAlign w:val="bottom"/>
            <w:hideMark/>
          </w:tcPr>
          <w:p w14:paraId="3197E17D" w14:textId="77777777" w:rsidR="006667F3" w:rsidRPr="006667F3" w:rsidRDefault="006667F3" w:rsidP="006667F3">
            <w:pPr>
              <w:tabs>
                <w:tab w:val="clear" w:pos="284"/>
              </w:tabs>
              <w:spacing w:after="0" w:line="240" w:lineRule="auto"/>
              <w:jc w:val="right"/>
              <w:rPr>
                <w:sz w:val="20"/>
                <w:szCs w:val="20"/>
              </w:rPr>
            </w:pPr>
            <w:r w:rsidRPr="006667F3">
              <w:rPr>
                <w:sz w:val="20"/>
                <w:szCs w:val="20"/>
              </w:rPr>
              <w:t>34</w:t>
            </w:r>
          </w:p>
        </w:tc>
        <w:tc>
          <w:tcPr>
            <w:tcW w:w="960" w:type="dxa"/>
            <w:tcBorders>
              <w:top w:val="nil"/>
              <w:left w:val="nil"/>
              <w:bottom w:val="nil"/>
              <w:right w:val="nil"/>
            </w:tcBorders>
            <w:shd w:val="clear" w:color="auto" w:fill="auto"/>
            <w:noWrap/>
            <w:vAlign w:val="bottom"/>
            <w:hideMark/>
          </w:tcPr>
          <w:p w14:paraId="2AB245F6" w14:textId="77777777" w:rsidR="006667F3" w:rsidRPr="006667F3" w:rsidRDefault="006667F3" w:rsidP="006667F3">
            <w:pPr>
              <w:tabs>
                <w:tab w:val="clear" w:pos="284"/>
              </w:tabs>
              <w:spacing w:after="0" w:line="240" w:lineRule="auto"/>
              <w:jc w:val="right"/>
              <w:rPr>
                <w:sz w:val="20"/>
                <w:szCs w:val="20"/>
              </w:rPr>
            </w:pPr>
            <w:r w:rsidRPr="006667F3">
              <w:rPr>
                <w:sz w:val="20"/>
                <w:szCs w:val="20"/>
              </w:rPr>
              <w:t>34</w:t>
            </w:r>
          </w:p>
        </w:tc>
        <w:tc>
          <w:tcPr>
            <w:tcW w:w="960" w:type="dxa"/>
            <w:tcBorders>
              <w:top w:val="nil"/>
              <w:left w:val="nil"/>
              <w:bottom w:val="nil"/>
              <w:right w:val="nil"/>
            </w:tcBorders>
            <w:shd w:val="clear" w:color="auto" w:fill="auto"/>
            <w:noWrap/>
            <w:vAlign w:val="bottom"/>
            <w:hideMark/>
          </w:tcPr>
          <w:p w14:paraId="1432C822" w14:textId="77777777" w:rsidR="006667F3" w:rsidRPr="006667F3" w:rsidRDefault="006667F3" w:rsidP="006667F3">
            <w:pPr>
              <w:tabs>
                <w:tab w:val="clear" w:pos="284"/>
              </w:tabs>
              <w:spacing w:after="0" w:line="240" w:lineRule="auto"/>
              <w:jc w:val="right"/>
              <w:rPr>
                <w:sz w:val="20"/>
                <w:szCs w:val="20"/>
              </w:rPr>
            </w:pPr>
            <w:r w:rsidRPr="006667F3">
              <w:rPr>
                <w:sz w:val="20"/>
                <w:szCs w:val="20"/>
              </w:rPr>
              <w:t>41</w:t>
            </w:r>
          </w:p>
        </w:tc>
        <w:tc>
          <w:tcPr>
            <w:tcW w:w="960" w:type="dxa"/>
            <w:tcBorders>
              <w:top w:val="nil"/>
              <w:left w:val="nil"/>
              <w:bottom w:val="nil"/>
              <w:right w:val="nil"/>
            </w:tcBorders>
            <w:shd w:val="clear" w:color="auto" w:fill="auto"/>
            <w:noWrap/>
            <w:vAlign w:val="bottom"/>
            <w:hideMark/>
          </w:tcPr>
          <w:p w14:paraId="7B348B0D" w14:textId="77777777" w:rsidR="006667F3" w:rsidRPr="006667F3" w:rsidRDefault="006667F3" w:rsidP="006667F3">
            <w:pPr>
              <w:tabs>
                <w:tab w:val="clear" w:pos="284"/>
              </w:tabs>
              <w:spacing w:after="0" w:line="240" w:lineRule="auto"/>
              <w:jc w:val="right"/>
              <w:rPr>
                <w:sz w:val="20"/>
                <w:szCs w:val="20"/>
              </w:rPr>
            </w:pPr>
            <w:r w:rsidRPr="006667F3">
              <w:rPr>
                <w:sz w:val="20"/>
                <w:szCs w:val="20"/>
              </w:rPr>
              <w:t>55</w:t>
            </w:r>
          </w:p>
        </w:tc>
        <w:tc>
          <w:tcPr>
            <w:tcW w:w="960" w:type="dxa"/>
            <w:tcBorders>
              <w:top w:val="nil"/>
              <w:left w:val="nil"/>
              <w:bottom w:val="nil"/>
              <w:right w:val="nil"/>
            </w:tcBorders>
            <w:shd w:val="clear" w:color="auto" w:fill="auto"/>
            <w:noWrap/>
            <w:vAlign w:val="bottom"/>
            <w:hideMark/>
          </w:tcPr>
          <w:p w14:paraId="29C77599" w14:textId="77777777" w:rsidR="006667F3" w:rsidRPr="006667F3" w:rsidRDefault="006667F3" w:rsidP="006667F3">
            <w:pPr>
              <w:tabs>
                <w:tab w:val="clear" w:pos="284"/>
              </w:tabs>
              <w:spacing w:after="0" w:line="240" w:lineRule="auto"/>
              <w:jc w:val="right"/>
              <w:rPr>
                <w:sz w:val="20"/>
                <w:szCs w:val="20"/>
              </w:rPr>
            </w:pPr>
            <w:r w:rsidRPr="006667F3">
              <w:rPr>
                <w:sz w:val="20"/>
                <w:szCs w:val="20"/>
              </w:rPr>
              <w:t>73</w:t>
            </w:r>
          </w:p>
        </w:tc>
      </w:tr>
      <w:tr w:rsidR="006667F3" w:rsidRPr="006667F3" w14:paraId="581B70C2" w14:textId="77777777" w:rsidTr="00140CF6">
        <w:trPr>
          <w:trHeight w:val="255"/>
        </w:trPr>
        <w:tc>
          <w:tcPr>
            <w:tcW w:w="1701" w:type="dxa"/>
            <w:tcBorders>
              <w:top w:val="nil"/>
              <w:left w:val="nil"/>
              <w:bottom w:val="nil"/>
              <w:right w:val="nil"/>
            </w:tcBorders>
            <w:shd w:val="clear" w:color="auto" w:fill="auto"/>
            <w:noWrap/>
            <w:vAlign w:val="bottom"/>
            <w:hideMark/>
          </w:tcPr>
          <w:p w14:paraId="1ED63D9A" w14:textId="77777777" w:rsidR="006667F3" w:rsidRPr="006667F3" w:rsidRDefault="006667F3" w:rsidP="006667F3">
            <w:pPr>
              <w:tabs>
                <w:tab w:val="clear" w:pos="284"/>
              </w:tabs>
              <w:spacing w:after="0" w:line="240" w:lineRule="auto"/>
              <w:rPr>
                <w:sz w:val="20"/>
                <w:szCs w:val="20"/>
              </w:rPr>
            </w:pPr>
            <w:r w:rsidRPr="006667F3">
              <w:rPr>
                <w:sz w:val="20"/>
                <w:szCs w:val="20"/>
              </w:rPr>
              <w:t>Switzerland</w:t>
            </w:r>
          </w:p>
        </w:tc>
        <w:tc>
          <w:tcPr>
            <w:tcW w:w="709" w:type="dxa"/>
            <w:tcBorders>
              <w:top w:val="nil"/>
              <w:left w:val="nil"/>
              <w:bottom w:val="nil"/>
              <w:right w:val="nil"/>
            </w:tcBorders>
            <w:shd w:val="clear" w:color="auto" w:fill="auto"/>
            <w:noWrap/>
            <w:vAlign w:val="bottom"/>
            <w:hideMark/>
          </w:tcPr>
          <w:p w14:paraId="1C05F72B" w14:textId="77777777" w:rsidR="006667F3" w:rsidRPr="006667F3" w:rsidRDefault="006667F3" w:rsidP="006667F3">
            <w:pPr>
              <w:tabs>
                <w:tab w:val="clear" w:pos="284"/>
              </w:tabs>
              <w:spacing w:after="0" w:line="240" w:lineRule="auto"/>
              <w:jc w:val="right"/>
              <w:rPr>
                <w:sz w:val="20"/>
                <w:szCs w:val="20"/>
              </w:rPr>
            </w:pPr>
            <w:r w:rsidRPr="006667F3">
              <w:rPr>
                <w:sz w:val="20"/>
                <w:szCs w:val="20"/>
              </w:rPr>
              <w:t>49</w:t>
            </w:r>
          </w:p>
        </w:tc>
        <w:tc>
          <w:tcPr>
            <w:tcW w:w="960" w:type="dxa"/>
            <w:tcBorders>
              <w:top w:val="nil"/>
              <w:left w:val="nil"/>
              <w:bottom w:val="nil"/>
              <w:right w:val="nil"/>
            </w:tcBorders>
            <w:shd w:val="clear" w:color="auto" w:fill="auto"/>
            <w:noWrap/>
            <w:vAlign w:val="bottom"/>
            <w:hideMark/>
          </w:tcPr>
          <w:p w14:paraId="2BE7E545" w14:textId="77777777" w:rsidR="006667F3" w:rsidRPr="006667F3" w:rsidRDefault="006667F3" w:rsidP="006667F3">
            <w:pPr>
              <w:tabs>
                <w:tab w:val="clear" w:pos="284"/>
              </w:tabs>
              <w:spacing w:after="0" w:line="240" w:lineRule="auto"/>
              <w:jc w:val="right"/>
              <w:rPr>
                <w:sz w:val="20"/>
                <w:szCs w:val="20"/>
              </w:rPr>
            </w:pPr>
            <w:r w:rsidRPr="006667F3">
              <w:rPr>
                <w:sz w:val="20"/>
                <w:szCs w:val="20"/>
              </w:rPr>
              <w:t>54</w:t>
            </w:r>
          </w:p>
        </w:tc>
        <w:tc>
          <w:tcPr>
            <w:tcW w:w="960" w:type="dxa"/>
            <w:tcBorders>
              <w:top w:val="nil"/>
              <w:left w:val="nil"/>
              <w:bottom w:val="nil"/>
              <w:right w:val="nil"/>
            </w:tcBorders>
            <w:shd w:val="clear" w:color="auto" w:fill="auto"/>
            <w:noWrap/>
            <w:vAlign w:val="bottom"/>
            <w:hideMark/>
          </w:tcPr>
          <w:p w14:paraId="7A5347D4" w14:textId="77777777" w:rsidR="006667F3" w:rsidRPr="006667F3" w:rsidRDefault="006667F3" w:rsidP="006667F3">
            <w:pPr>
              <w:tabs>
                <w:tab w:val="clear" w:pos="284"/>
              </w:tabs>
              <w:spacing w:after="0" w:line="240" w:lineRule="auto"/>
              <w:jc w:val="right"/>
              <w:rPr>
                <w:sz w:val="20"/>
                <w:szCs w:val="20"/>
              </w:rPr>
            </w:pPr>
            <w:r w:rsidRPr="006667F3">
              <w:rPr>
                <w:sz w:val="20"/>
                <w:szCs w:val="20"/>
              </w:rPr>
              <w:t>61</w:t>
            </w:r>
          </w:p>
        </w:tc>
        <w:tc>
          <w:tcPr>
            <w:tcW w:w="960" w:type="dxa"/>
            <w:tcBorders>
              <w:top w:val="nil"/>
              <w:left w:val="nil"/>
              <w:bottom w:val="nil"/>
              <w:right w:val="nil"/>
            </w:tcBorders>
            <w:shd w:val="clear" w:color="auto" w:fill="auto"/>
            <w:noWrap/>
            <w:vAlign w:val="bottom"/>
            <w:hideMark/>
          </w:tcPr>
          <w:p w14:paraId="67F77FF5" w14:textId="77777777" w:rsidR="006667F3" w:rsidRPr="006667F3" w:rsidRDefault="006667F3" w:rsidP="006667F3">
            <w:pPr>
              <w:tabs>
                <w:tab w:val="clear" w:pos="284"/>
              </w:tabs>
              <w:spacing w:after="0" w:line="240" w:lineRule="auto"/>
              <w:jc w:val="right"/>
              <w:rPr>
                <w:sz w:val="20"/>
                <w:szCs w:val="20"/>
              </w:rPr>
            </w:pPr>
            <w:r w:rsidRPr="006667F3">
              <w:rPr>
                <w:sz w:val="20"/>
                <w:szCs w:val="20"/>
              </w:rPr>
              <w:t>70</w:t>
            </w:r>
          </w:p>
        </w:tc>
        <w:tc>
          <w:tcPr>
            <w:tcW w:w="960" w:type="dxa"/>
            <w:tcBorders>
              <w:top w:val="nil"/>
              <w:left w:val="nil"/>
              <w:bottom w:val="nil"/>
              <w:right w:val="nil"/>
            </w:tcBorders>
            <w:shd w:val="clear" w:color="auto" w:fill="auto"/>
            <w:noWrap/>
            <w:vAlign w:val="bottom"/>
            <w:hideMark/>
          </w:tcPr>
          <w:p w14:paraId="1CF4C23B" w14:textId="77777777" w:rsidR="006667F3" w:rsidRPr="006667F3" w:rsidRDefault="006667F3" w:rsidP="006667F3">
            <w:pPr>
              <w:tabs>
                <w:tab w:val="clear" w:pos="284"/>
              </w:tabs>
              <w:spacing w:after="0" w:line="240" w:lineRule="auto"/>
              <w:jc w:val="right"/>
              <w:rPr>
                <w:sz w:val="20"/>
                <w:szCs w:val="20"/>
              </w:rPr>
            </w:pPr>
            <w:r w:rsidRPr="006667F3">
              <w:rPr>
                <w:sz w:val="20"/>
                <w:szCs w:val="20"/>
              </w:rPr>
              <w:t>69</w:t>
            </w:r>
          </w:p>
        </w:tc>
        <w:tc>
          <w:tcPr>
            <w:tcW w:w="960" w:type="dxa"/>
            <w:tcBorders>
              <w:top w:val="nil"/>
              <w:left w:val="nil"/>
              <w:bottom w:val="nil"/>
              <w:right w:val="nil"/>
            </w:tcBorders>
            <w:shd w:val="clear" w:color="auto" w:fill="auto"/>
            <w:noWrap/>
            <w:vAlign w:val="bottom"/>
            <w:hideMark/>
          </w:tcPr>
          <w:p w14:paraId="74CC1E4F" w14:textId="77777777" w:rsidR="006667F3" w:rsidRPr="006667F3" w:rsidRDefault="006667F3" w:rsidP="006667F3">
            <w:pPr>
              <w:tabs>
                <w:tab w:val="clear" w:pos="284"/>
              </w:tabs>
              <w:spacing w:after="0" w:line="240" w:lineRule="auto"/>
              <w:jc w:val="right"/>
              <w:rPr>
                <w:sz w:val="20"/>
                <w:szCs w:val="20"/>
              </w:rPr>
            </w:pPr>
            <w:r w:rsidRPr="006667F3">
              <w:rPr>
                <w:sz w:val="20"/>
                <w:szCs w:val="20"/>
              </w:rPr>
              <w:t>63</w:t>
            </w:r>
          </w:p>
        </w:tc>
        <w:tc>
          <w:tcPr>
            <w:tcW w:w="960" w:type="dxa"/>
            <w:tcBorders>
              <w:top w:val="nil"/>
              <w:left w:val="nil"/>
              <w:bottom w:val="nil"/>
              <w:right w:val="nil"/>
            </w:tcBorders>
            <w:shd w:val="clear" w:color="auto" w:fill="auto"/>
            <w:noWrap/>
            <w:vAlign w:val="bottom"/>
            <w:hideMark/>
          </w:tcPr>
          <w:p w14:paraId="55B3A479" w14:textId="77777777" w:rsidR="006667F3" w:rsidRPr="006667F3" w:rsidRDefault="006667F3" w:rsidP="006667F3">
            <w:pPr>
              <w:tabs>
                <w:tab w:val="clear" w:pos="284"/>
              </w:tabs>
              <w:spacing w:after="0" w:line="240" w:lineRule="auto"/>
              <w:jc w:val="right"/>
              <w:rPr>
                <w:sz w:val="20"/>
                <w:szCs w:val="20"/>
              </w:rPr>
            </w:pPr>
            <w:r w:rsidRPr="006667F3">
              <w:rPr>
                <w:sz w:val="20"/>
                <w:szCs w:val="20"/>
              </w:rPr>
              <w:t>67</w:t>
            </w:r>
          </w:p>
        </w:tc>
        <w:tc>
          <w:tcPr>
            <w:tcW w:w="960" w:type="dxa"/>
            <w:tcBorders>
              <w:top w:val="nil"/>
              <w:left w:val="nil"/>
              <w:bottom w:val="nil"/>
              <w:right w:val="nil"/>
            </w:tcBorders>
            <w:shd w:val="clear" w:color="auto" w:fill="auto"/>
            <w:noWrap/>
            <w:vAlign w:val="bottom"/>
            <w:hideMark/>
          </w:tcPr>
          <w:p w14:paraId="67B9A5D3" w14:textId="77777777" w:rsidR="006667F3" w:rsidRPr="006667F3" w:rsidRDefault="006667F3" w:rsidP="006667F3">
            <w:pPr>
              <w:tabs>
                <w:tab w:val="clear" w:pos="284"/>
              </w:tabs>
              <w:spacing w:after="0" w:line="240" w:lineRule="auto"/>
              <w:jc w:val="right"/>
              <w:rPr>
                <w:sz w:val="20"/>
                <w:szCs w:val="20"/>
              </w:rPr>
            </w:pPr>
            <w:r w:rsidRPr="006667F3">
              <w:rPr>
                <w:sz w:val="20"/>
                <w:szCs w:val="20"/>
              </w:rPr>
              <w:t>70</w:t>
            </w:r>
          </w:p>
        </w:tc>
      </w:tr>
      <w:tr w:rsidR="006667F3" w:rsidRPr="006667F3" w14:paraId="1448E31D" w14:textId="77777777" w:rsidTr="00140CF6">
        <w:trPr>
          <w:trHeight w:val="255"/>
        </w:trPr>
        <w:tc>
          <w:tcPr>
            <w:tcW w:w="1701" w:type="dxa"/>
            <w:tcBorders>
              <w:top w:val="nil"/>
              <w:left w:val="nil"/>
              <w:bottom w:val="nil"/>
              <w:right w:val="nil"/>
            </w:tcBorders>
            <w:shd w:val="clear" w:color="auto" w:fill="auto"/>
            <w:noWrap/>
            <w:vAlign w:val="bottom"/>
            <w:hideMark/>
          </w:tcPr>
          <w:p w14:paraId="2FC1ABE7" w14:textId="77777777" w:rsidR="006667F3" w:rsidRPr="006667F3" w:rsidRDefault="006667F3" w:rsidP="006667F3">
            <w:pPr>
              <w:tabs>
                <w:tab w:val="clear" w:pos="284"/>
              </w:tabs>
              <w:spacing w:after="0" w:line="240" w:lineRule="auto"/>
              <w:rPr>
                <w:sz w:val="20"/>
                <w:szCs w:val="20"/>
              </w:rPr>
            </w:pPr>
            <w:r w:rsidRPr="006667F3">
              <w:rPr>
                <w:sz w:val="20"/>
                <w:szCs w:val="20"/>
              </w:rPr>
              <w:t>Netherlands</w:t>
            </w:r>
          </w:p>
        </w:tc>
        <w:tc>
          <w:tcPr>
            <w:tcW w:w="709" w:type="dxa"/>
            <w:tcBorders>
              <w:top w:val="nil"/>
              <w:left w:val="nil"/>
              <w:bottom w:val="nil"/>
              <w:right w:val="nil"/>
            </w:tcBorders>
            <w:shd w:val="clear" w:color="auto" w:fill="auto"/>
            <w:noWrap/>
            <w:vAlign w:val="bottom"/>
            <w:hideMark/>
          </w:tcPr>
          <w:p w14:paraId="33EC8633" w14:textId="77777777" w:rsidR="006667F3" w:rsidRPr="006667F3" w:rsidRDefault="006667F3" w:rsidP="006667F3">
            <w:pPr>
              <w:tabs>
                <w:tab w:val="clear" w:pos="284"/>
              </w:tabs>
              <w:spacing w:after="0" w:line="240" w:lineRule="auto"/>
              <w:jc w:val="right"/>
              <w:rPr>
                <w:sz w:val="20"/>
                <w:szCs w:val="20"/>
              </w:rPr>
            </w:pPr>
            <w:r w:rsidRPr="006667F3">
              <w:rPr>
                <w:sz w:val="20"/>
                <w:szCs w:val="20"/>
              </w:rPr>
              <w:t>61</w:t>
            </w:r>
          </w:p>
        </w:tc>
        <w:tc>
          <w:tcPr>
            <w:tcW w:w="960" w:type="dxa"/>
            <w:tcBorders>
              <w:top w:val="nil"/>
              <w:left w:val="nil"/>
              <w:bottom w:val="nil"/>
              <w:right w:val="nil"/>
            </w:tcBorders>
            <w:shd w:val="clear" w:color="auto" w:fill="auto"/>
            <w:noWrap/>
            <w:vAlign w:val="bottom"/>
            <w:hideMark/>
          </w:tcPr>
          <w:p w14:paraId="13E51EBC" w14:textId="77777777" w:rsidR="006667F3" w:rsidRPr="006667F3" w:rsidRDefault="006667F3" w:rsidP="006667F3">
            <w:pPr>
              <w:tabs>
                <w:tab w:val="clear" w:pos="284"/>
              </w:tabs>
              <w:spacing w:after="0" w:line="240" w:lineRule="auto"/>
              <w:jc w:val="right"/>
              <w:rPr>
                <w:sz w:val="20"/>
                <w:szCs w:val="20"/>
              </w:rPr>
            </w:pPr>
            <w:r w:rsidRPr="006667F3">
              <w:rPr>
                <w:sz w:val="20"/>
                <w:szCs w:val="20"/>
              </w:rPr>
              <w:t>54</w:t>
            </w:r>
          </w:p>
        </w:tc>
        <w:tc>
          <w:tcPr>
            <w:tcW w:w="960" w:type="dxa"/>
            <w:tcBorders>
              <w:top w:val="nil"/>
              <w:left w:val="nil"/>
              <w:bottom w:val="nil"/>
              <w:right w:val="nil"/>
            </w:tcBorders>
            <w:shd w:val="clear" w:color="auto" w:fill="auto"/>
            <w:noWrap/>
            <w:vAlign w:val="bottom"/>
            <w:hideMark/>
          </w:tcPr>
          <w:p w14:paraId="57D8BB5B" w14:textId="77777777" w:rsidR="006667F3" w:rsidRPr="006667F3" w:rsidRDefault="006667F3" w:rsidP="006667F3">
            <w:pPr>
              <w:tabs>
                <w:tab w:val="clear" w:pos="284"/>
              </w:tabs>
              <w:spacing w:after="0" w:line="240" w:lineRule="auto"/>
              <w:jc w:val="right"/>
              <w:rPr>
                <w:sz w:val="20"/>
                <w:szCs w:val="20"/>
              </w:rPr>
            </w:pPr>
            <w:r w:rsidRPr="006667F3">
              <w:rPr>
                <w:sz w:val="20"/>
                <w:szCs w:val="20"/>
              </w:rPr>
              <w:t>55</w:t>
            </w:r>
          </w:p>
        </w:tc>
        <w:tc>
          <w:tcPr>
            <w:tcW w:w="960" w:type="dxa"/>
            <w:tcBorders>
              <w:top w:val="nil"/>
              <w:left w:val="nil"/>
              <w:bottom w:val="nil"/>
              <w:right w:val="nil"/>
            </w:tcBorders>
            <w:shd w:val="clear" w:color="auto" w:fill="auto"/>
            <w:noWrap/>
            <w:vAlign w:val="bottom"/>
            <w:hideMark/>
          </w:tcPr>
          <w:p w14:paraId="30988094" w14:textId="77777777" w:rsidR="006667F3" w:rsidRPr="006667F3" w:rsidRDefault="006667F3" w:rsidP="006667F3">
            <w:pPr>
              <w:tabs>
                <w:tab w:val="clear" w:pos="284"/>
              </w:tabs>
              <w:spacing w:after="0" w:line="240" w:lineRule="auto"/>
              <w:jc w:val="right"/>
              <w:rPr>
                <w:sz w:val="20"/>
                <w:szCs w:val="20"/>
              </w:rPr>
            </w:pPr>
            <w:r w:rsidRPr="006667F3">
              <w:rPr>
                <w:sz w:val="20"/>
                <w:szCs w:val="20"/>
              </w:rPr>
              <w:t>50</w:t>
            </w:r>
          </w:p>
        </w:tc>
        <w:tc>
          <w:tcPr>
            <w:tcW w:w="960" w:type="dxa"/>
            <w:tcBorders>
              <w:top w:val="nil"/>
              <w:left w:val="nil"/>
              <w:bottom w:val="nil"/>
              <w:right w:val="nil"/>
            </w:tcBorders>
            <w:shd w:val="clear" w:color="auto" w:fill="auto"/>
            <w:noWrap/>
            <w:vAlign w:val="bottom"/>
            <w:hideMark/>
          </w:tcPr>
          <w:p w14:paraId="65898488" w14:textId="77777777" w:rsidR="006667F3" w:rsidRPr="006667F3" w:rsidRDefault="006667F3" w:rsidP="006667F3">
            <w:pPr>
              <w:tabs>
                <w:tab w:val="clear" w:pos="284"/>
              </w:tabs>
              <w:spacing w:after="0" w:line="240" w:lineRule="auto"/>
              <w:jc w:val="right"/>
              <w:rPr>
                <w:sz w:val="20"/>
                <w:szCs w:val="20"/>
              </w:rPr>
            </w:pPr>
            <w:r w:rsidRPr="006667F3">
              <w:rPr>
                <w:sz w:val="20"/>
                <w:szCs w:val="20"/>
              </w:rPr>
              <w:t>46</w:t>
            </w:r>
          </w:p>
        </w:tc>
        <w:tc>
          <w:tcPr>
            <w:tcW w:w="960" w:type="dxa"/>
            <w:tcBorders>
              <w:top w:val="nil"/>
              <w:left w:val="nil"/>
              <w:bottom w:val="nil"/>
              <w:right w:val="nil"/>
            </w:tcBorders>
            <w:shd w:val="clear" w:color="auto" w:fill="auto"/>
            <w:noWrap/>
            <w:vAlign w:val="bottom"/>
            <w:hideMark/>
          </w:tcPr>
          <w:p w14:paraId="67AE3C48" w14:textId="77777777" w:rsidR="006667F3" w:rsidRPr="006667F3" w:rsidRDefault="006667F3" w:rsidP="006667F3">
            <w:pPr>
              <w:tabs>
                <w:tab w:val="clear" w:pos="284"/>
              </w:tabs>
              <w:spacing w:after="0" w:line="240" w:lineRule="auto"/>
              <w:jc w:val="right"/>
              <w:rPr>
                <w:sz w:val="20"/>
                <w:szCs w:val="20"/>
              </w:rPr>
            </w:pPr>
            <w:r w:rsidRPr="006667F3">
              <w:rPr>
                <w:sz w:val="20"/>
                <w:szCs w:val="20"/>
              </w:rPr>
              <w:t>50</w:t>
            </w:r>
          </w:p>
        </w:tc>
        <w:tc>
          <w:tcPr>
            <w:tcW w:w="960" w:type="dxa"/>
            <w:tcBorders>
              <w:top w:val="nil"/>
              <w:left w:val="nil"/>
              <w:bottom w:val="nil"/>
              <w:right w:val="nil"/>
            </w:tcBorders>
            <w:shd w:val="clear" w:color="auto" w:fill="auto"/>
            <w:noWrap/>
            <w:vAlign w:val="bottom"/>
            <w:hideMark/>
          </w:tcPr>
          <w:p w14:paraId="224B7F0F" w14:textId="77777777" w:rsidR="006667F3" w:rsidRPr="006667F3" w:rsidRDefault="006667F3" w:rsidP="006667F3">
            <w:pPr>
              <w:tabs>
                <w:tab w:val="clear" w:pos="284"/>
              </w:tabs>
              <w:spacing w:after="0" w:line="240" w:lineRule="auto"/>
              <w:jc w:val="right"/>
              <w:rPr>
                <w:sz w:val="20"/>
                <w:szCs w:val="20"/>
              </w:rPr>
            </w:pPr>
            <w:r w:rsidRPr="006667F3">
              <w:rPr>
                <w:sz w:val="20"/>
                <w:szCs w:val="20"/>
              </w:rPr>
              <w:t>48</w:t>
            </w:r>
          </w:p>
        </w:tc>
        <w:tc>
          <w:tcPr>
            <w:tcW w:w="960" w:type="dxa"/>
            <w:tcBorders>
              <w:top w:val="nil"/>
              <w:left w:val="nil"/>
              <w:bottom w:val="nil"/>
              <w:right w:val="nil"/>
            </w:tcBorders>
            <w:shd w:val="clear" w:color="auto" w:fill="auto"/>
            <w:noWrap/>
            <w:vAlign w:val="bottom"/>
            <w:hideMark/>
          </w:tcPr>
          <w:p w14:paraId="45562150" w14:textId="77777777" w:rsidR="006667F3" w:rsidRPr="006667F3" w:rsidRDefault="006667F3" w:rsidP="006667F3">
            <w:pPr>
              <w:tabs>
                <w:tab w:val="clear" w:pos="284"/>
              </w:tabs>
              <w:spacing w:after="0" w:line="240" w:lineRule="auto"/>
              <w:jc w:val="right"/>
              <w:rPr>
                <w:sz w:val="20"/>
                <w:szCs w:val="20"/>
              </w:rPr>
            </w:pPr>
            <w:r w:rsidRPr="006667F3">
              <w:rPr>
                <w:sz w:val="20"/>
                <w:szCs w:val="20"/>
              </w:rPr>
              <w:t>58</w:t>
            </w:r>
          </w:p>
        </w:tc>
      </w:tr>
      <w:tr w:rsidR="006667F3" w:rsidRPr="006667F3" w14:paraId="578BCD92" w14:textId="77777777" w:rsidTr="00140CF6">
        <w:trPr>
          <w:trHeight w:val="255"/>
        </w:trPr>
        <w:tc>
          <w:tcPr>
            <w:tcW w:w="1701" w:type="dxa"/>
            <w:tcBorders>
              <w:top w:val="nil"/>
              <w:left w:val="nil"/>
              <w:bottom w:val="nil"/>
              <w:right w:val="nil"/>
            </w:tcBorders>
            <w:shd w:val="clear" w:color="auto" w:fill="auto"/>
            <w:noWrap/>
            <w:vAlign w:val="bottom"/>
            <w:hideMark/>
          </w:tcPr>
          <w:p w14:paraId="4B3D9C56" w14:textId="77777777" w:rsidR="006667F3" w:rsidRPr="006667F3" w:rsidRDefault="006667F3" w:rsidP="006667F3">
            <w:pPr>
              <w:tabs>
                <w:tab w:val="clear" w:pos="284"/>
              </w:tabs>
              <w:spacing w:after="0" w:line="240" w:lineRule="auto"/>
              <w:rPr>
                <w:sz w:val="20"/>
                <w:szCs w:val="20"/>
              </w:rPr>
            </w:pPr>
            <w:r w:rsidRPr="006667F3">
              <w:rPr>
                <w:sz w:val="20"/>
                <w:szCs w:val="20"/>
              </w:rPr>
              <w:t>United Kingdom</w:t>
            </w:r>
          </w:p>
        </w:tc>
        <w:tc>
          <w:tcPr>
            <w:tcW w:w="709" w:type="dxa"/>
            <w:tcBorders>
              <w:top w:val="nil"/>
              <w:left w:val="nil"/>
              <w:bottom w:val="nil"/>
              <w:right w:val="nil"/>
            </w:tcBorders>
            <w:shd w:val="clear" w:color="auto" w:fill="auto"/>
            <w:noWrap/>
            <w:vAlign w:val="bottom"/>
            <w:hideMark/>
          </w:tcPr>
          <w:p w14:paraId="15A3700D" w14:textId="77777777" w:rsidR="006667F3" w:rsidRPr="006667F3" w:rsidRDefault="006667F3" w:rsidP="006667F3">
            <w:pPr>
              <w:tabs>
                <w:tab w:val="clear" w:pos="284"/>
              </w:tabs>
              <w:spacing w:after="0" w:line="240" w:lineRule="auto"/>
              <w:jc w:val="right"/>
              <w:rPr>
                <w:sz w:val="20"/>
                <w:szCs w:val="20"/>
              </w:rPr>
            </w:pPr>
            <w:r w:rsidRPr="006667F3">
              <w:rPr>
                <w:sz w:val="20"/>
                <w:szCs w:val="20"/>
              </w:rPr>
              <w:t>33</w:t>
            </w:r>
          </w:p>
        </w:tc>
        <w:tc>
          <w:tcPr>
            <w:tcW w:w="960" w:type="dxa"/>
            <w:tcBorders>
              <w:top w:val="nil"/>
              <w:left w:val="nil"/>
              <w:bottom w:val="nil"/>
              <w:right w:val="nil"/>
            </w:tcBorders>
            <w:shd w:val="clear" w:color="auto" w:fill="auto"/>
            <w:noWrap/>
            <w:vAlign w:val="bottom"/>
            <w:hideMark/>
          </w:tcPr>
          <w:p w14:paraId="3A0E7046" w14:textId="77777777" w:rsidR="006667F3" w:rsidRPr="006667F3" w:rsidRDefault="006667F3" w:rsidP="006667F3">
            <w:pPr>
              <w:tabs>
                <w:tab w:val="clear" w:pos="284"/>
              </w:tabs>
              <w:spacing w:after="0" w:line="240" w:lineRule="auto"/>
              <w:jc w:val="right"/>
              <w:rPr>
                <w:sz w:val="20"/>
                <w:szCs w:val="20"/>
              </w:rPr>
            </w:pPr>
            <w:r w:rsidRPr="006667F3">
              <w:rPr>
                <w:sz w:val="20"/>
                <w:szCs w:val="20"/>
              </w:rPr>
              <w:t>30</w:t>
            </w:r>
          </w:p>
        </w:tc>
        <w:tc>
          <w:tcPr>
            <w:tcW w:w="960" w:type="dxa"/>
            <w:tcBorders>
              <w:top w:val="nil"/>
              <w:left w:val="nil"/>
              <w:bottom w:val="nil"/>
              <w:right w:val="nil"/>
            </w:tcBorders>
            <w:shd w:val="clear" w:color="auto" w:fill="auto"/>
            <w:noWrap/>
            <w:vAlign w:val="bottom"/>
            <w:hideMark/>
          </w:tcPr>
          <w:p w14:paraId="56F60731" w14:textId="77777777" w:rsidR="006667F3" w:rsidRPr="006667F3" w:rsidRDefault="006667F3" w:rsidP="006667F3">
            <w:pPr>
              <w:tabs>
                <w:tab w:val="clear" w:pos="284"/>
              </w:tabs>
              <w:spacing w:after="0" w:line="240" w:lineRule="auto"/>
              <w:jc w:val="right"/>
              <w:rPr>
                <w:sz w:val="20"/>
                <w:szCs w:val="20"/>
              </w:rPr>
            </w:pPr>
            <w:r w:rsidRPr="006667F3">
              <w:rPr>
                <w:sz w:val="20"/>
                <w:szCs w:val="20"/>
              </w:rPr>
              <w:t>40</w:t>
            </w:r>
          </w:p>
        </w:tc>
        <w:tc>
          <w:tcPr>
            <w:tcW w:w="960" w:type="dxa"/>
            <w:tcBorders>
              <w:top w:val="nil"/>
              <w:left w:val="nil"/>
              <w:bottom w:val="nil"/>
              <w:right w:val="nil"/>
            </w:tcBorders>
            <w:shd w:val="clear" w:color="auto" w:fill="auto"/>
            <w:noWrap/>
            <w:vAlign w:val="bottom"/>
            <w:hideMark/>
          </w:tcPr>
          <w:p w14:paraId="377ED3DE" w14:textId="77777777" w:rsidR="006667F3" w:rsidRPr="006667F3" w:rsidRDefault="006667F3" w:rsidP="006667F3">
            <w:pPr>
              <w:tabs>
                <w:tab w:val="clear" w:pos="284"/>
              </w:tabs>
              <w:spacing w:after="0" w:line="240" w:lineRule="auto"/>
              <w:jc w:val="right"/>
              <w:rPr>
                <w:sz w:val="20"/>
                <w:szCs w:val="20"/>
              </w:rPr>
            </w:pPr>
            <w:r w:rsidRPr="006667F3">
              <w:rPr>
                <w:sz w:val="20"/>
                <w:szCs w:val="20"/>
              </w:rPr>
              <w:t>46</w:t>
            </w:r>
          </w:p>
        </w:tc>
        <w:tc>
          <w:tcPr>
            <w:tcW w:w="960" w:type="dxa"/>
            <w:tcBorders>
              <w:top w:val="nil"/>
              <w:left w:val="nil"/>
              <w:bottom w:val="nil"/>
              <w:right w:val="nil"/>
            </w:tcBorders>
            <w:shd w:val="clear" w:color="auto" w:fill="auto"/>
            <w:noWrap/>
            <w:vAlign w:val="bottom"/>
            <w:hideMark/>
          </w:tcPr>
          <w:p w14:paraId="1792C929" w14:textId="77777777" w:rsidR="006667F3" w:rsidRPr="006667F3" w:rsidRDefault="006667F3" w:rsidP="006667F3">
            <w:pPr>
              <w:tabs>
                <w:tab w:val="clear" w:pos="284"/>
              </w:tabs>
              <w:spacing w:after="0" w:line="240" w:lineRule="auto"/>
              <w:jc w:val="right"/>
              <w:rPr>
                <w:sz w:val="20"/>
                <w:szCs w:val="20"/>
              </w:rPr>
            </w:pPr>
            <w:r w:rsidRPr="006667F3">
              <w:rPr>
                <w:sz w:val="20"/>
                <w:szCs w:val="20"/>
              </w:rPr>
              <w:t>42</w:t>
            </w:r>
          </w:p>
        </w:tc>
        <w:tc>
          <w:tcPr>
            <w:tcW w:w="960" w:type="dxa"/>
            <w:tcBorders>
              <w:top w:val="nil"/>
              <w:left w:val="nil"/>
              <w:bottom w:val="nil"/>
              <w:right w:val="nil"/>
            </w:tcBorders>
            <w:shd w:val="clear" w:color="auto" w:fill="auto"/>
            <w:noWrap/>
            <w:vAlign w:val="bottom"/>
            <w:hideMark/>
          </w:tcPr>
          <w:p w14:paraId="753BF7BE" w14:textId="77777777" w:rsidR="006667F3" w:rsidRPr="006667F3" w:rsidRDefault="006667F3" w:rsidP="006667F3">
            <w:pPr>
              <w:tabs>
                <w:tab w:val="clear" w:pos="284"/>
              </w:tabs>
              <w:spacing w:after="0" w:line="240" w:lineRule="auto"/>
              <w:jc w:val="right"/>
              <w:rPr>
                <w:sz w:val="20"/>
                <w:szCs w:val="20"/>
              </w:rPr>
            </w:pPr>
            <w:r w:rsidRPr="006667F3">
              <w:rPr>
                <w:sz w:val="20"/>
                <w:szCs w:val="20"/>
              </w:rPr>
              <w:t>40</w:t>
            </w:r>
          </w:p>
        </w:tc>
        <w:tc>
          <w:tcPr>
            <w:tcW w:w="960" w:type="dxa"/>
            <w:tcBorders>
              <w:top w:val="nil"/>
              <w:left w:val="nil"/>
              <w:bottom w:val="nil"/>
              <w:right w:val="nil"/>
            </w:tcBorders>
            <w:shd w:val="clear" w:color="auto" w:fill="auto"/>
            <w:noWrap/>
            <w:vAlign w:val="bottom"/>
            <w:hideMark/>
          </w:tcPr>
          <w:p w14:paraId="189C29AA" w14:textId="77777777" w:rsidR="006667F3" w:rsidRPr="006667F3" w:rsidRDefault="006667F3" w:rsidP="006667F3">
            <w:pPr>
              <w:tabs>
                <w:tab w:val="clear" w:pos="284"/>
              </w:tabs>
              <w:spacing w:after="0" w:line="240" w:lineRule="auto"/>
              <w:jc w:val="right"/>
              <w:rPr>
                <w:sz w:val="20"/>
                <w:szCs w:val="20"/>
              </w:rPr>
            </w:pPr>
            <w:r w:rsidRPr="006667F3">
              <w:rPr>
                <w:sz w:val="20"/>
                <w:szCs w:val="20"/>
              </w:rPr>
              <w:t>40</w:t>
            </w:r>
          </w:p>
        </w:tc>
        <w:tc>
          <w:tcPr>
            <w:tcW w:w="960" w:type="dxa"/>
            <w:tcBorders>
              <w:top w:val="nil"/>
              <w:left w:val="nil"/>
              <w:bottom w:val="nil"/>
              <w:right w:val="nil"/>
            </w:tcBorders>
            <w:shd w:val="clear" w:color="auto" w:fill="auto"/>
            <w:noWrap/>
            <w:vAlign w:val="bottom"/>
            <w:hideMark/>
          </w:tcPr>
          <w:p w14:paraId="39F71921" w14:textId="77777777" w:rsidR="006667F3" w:rsidRPr="006667F3" w:rsidRDefault="006667F3" w:rsidP="006667F3">
            <w:pPr>
              <w:tabs>
                <w:tab w:val="clear" w:pos="284"/>
              </w:tabs>
              <w:spacing w:after="0" w:line="240" w:lineRule="auto"/>
              <w:jc w:val="right"/>
              <w:rPr>
                <w:sz w:val="20"/>
                <w:szCs w:val="20"/>
              </w:rPr>
            </w:pPr>
            <w:r w:rsidRPr="006667F3">
              <w:rPr>
                <w:sz w:val="20"/>
                <w:szCs w:val="20"/>
              </w:rPr>
              <w:t>46</w:t>
            </w:r>
          </w:p>
        </w:tc>
      </w:tr>
      <w:tr w:rsidR="006667F3" w:rsidRPr="006667F3" w14:paraId="3ABF6336" w14:textId="77777777" w:rsidTr="00140CF6">
        <w:trPr>
          <w:trHeight w:val="255"/>
        </w:trPr>
        <w:tc>
          <w:tcPr>
            <w:tcW w:w="1701" w:type="dxa"/>
            <w:tcBorders>
              <w:top w:val="nil"/>
              <w:left w:val="nil"/>
              <w:bottom w:val="nil"/>
              <w:right w:val="nil"/>
            </w:tcBorders>
            <w:shd w:val="clear" w:color="auto" w:fill="auto"/>
            <w:noWrap/>
            <w:vAlign w:val="bottom"/>
            <w:hideMark/>
          </w:tcPr>
          <w:p w14:paraId="295A37ED" w14:textId="77777777" w:rsidR="006667F3" w:rsidRPr="006667F3" w:rsidRDefault="006667F3" w:rsidP="006667F3">
            <w:pPr>
              <w:tabs>
                <w:tab w:val="clear" w:pos="284"/>
              </w:tabs>
              <w:spacing w:after="0" w:line="240" w:lineRule="auto"/>
              <w:rPr>
                <w:sz w:val="20"/>
                <w:szCs w:val="20"/>
              </w:rPr>
            </w:pPr>
            <w:r w:rsidRPr="006667F3">
              <w:rPr>
                <w:sz w:val="20"/>
                <w:szCs w:val="20"/>
              </w:rPr>
              <w:t>Ireland</w:t>
            </w:r>
          </w:p>
        </w:tc>
        <w:tc>
          <w:tcPr>
            <w:tcW w:w="709" w:type="dxa"/>
            <w:tcBorders>
              <w:top w:val="nil"/>
              <w:left w:val="nil"/>
              <w:bottom w:val="nil"/>
              <w:right w:val="nil"/>
            </w:tcBorders>
            <w:shd w:val="clear" w:color="auto" w:fill="auto"/>
            <w:noWrap/>
            <w:vAlign w:val="bottom"/>
            <w:hideMark/>
          </w:tcPr>
          <w:p w14:paraId="0520496E" w14:textId="77777777" w:rsidR="006667F3" w:rsidRPr="006667F3" w:rsidRDefault="006667F3" w:rsidP="006667F3">
            <w:pPr>
              <w:tabs>
                <w:tab w:val="clear" w:pos="284"/>
              </w:tabs>
              <w:spacing w:after="0" w:line="240" w:lineRule="auto"/>
              <w:jc w:val="right"/>
              <w:rPr>
                <w:sz w:val="20"/>
                <w:szCs w:val="20"/>
              </w:rPr>
            </w:pPr>
            <w:r w:rsidRPr="006667F3">
              <w:rPr>
                <w:sz w:val="20"/>
                <w:szCs w:val="20"/>
              </w:rPr>
              <w:t>37</w:t>
            </w:r>
          </w:p>
        </w:tc>
        <w:tc>
          <w:tcPr>
            <w:tcW w:w="960" w:type="dxa"/>
            <w:tcBorders>
              <w:top w:val="nil"/>
              <w:left w:val="nil"/>
              <w:bottom w:val="nil"/>
              <w:right w:val="nil"/>
            </w:tcBorders>
            <w:shd w:val="clear" w:color="auto" w:fill="auto"/>
            <w:noWrap/>
            <w:vAlign w:val="bottom"/>
            <w:hideMark/>
          </w:tcPr>
          <w:p w14:paraId="42ADBBA1" w14:textId="77777777" w:rsidR="006667F3" w:rsidRPr="006667F3" w:rsidRDefault="006667F3" w:rsidP="006667F3">
            <w:pPr>
              <w:tabs>
                <w:tab w:val="clear" w:pos="284"/>
              </w:tabs>
              <w:spacing w:after="0" w:line="240" w:lineRule="auto"/>
              <w:jc w:val="right"/>
              <w:rPr>
                <w:sz w:val="20"/>
                <w:szCs w:val="20"/>
              </w:rPr>
            </w:pPr>
            <w:r w:rsidRPr="006667F3">
              <w:rPr>
                <w:sz w:val="20"/>
                <w:szCs w:val="20"/>
              </w:rPr>
              <w:t>39</w:t>
            </w:r>
          </w:p>
        </w:tc>
        <w:tc>
          <w:tcPr>
            <w:tcW w:w="960" w:type="dxa"/>
            <w:tcBorders>
              <w:top w:val="nil"/>
              <w:left w:val="nil"/>
              <w:bottom w:val="nil"/>
              <w:right w:val="nil"/>
            </w:tcBorders>
            <w:shd w:val="clear" w:color="auto" w:fill="auto"/>
            <w:noWrap/>
            <w:vAlign w:val="bottom"/>
            <w:hideMark/>
          </w:tcPr>
          <w:p w14:paraId="1E03F1F2" w14:textId="77777777" w:rsidR="006667F3" w:rsidRPr="006667F3" w:rsidRDefault="006667F3" w:rsidP="006667F3">
            <w:pPr>
              <w:tabs>
                <w:tab w:val="clear" w:pos="284"/>
              </w:tabs>
              <w:spacing w:after="0" w:line="240" w:lineRule="auto"/>
              <w:jc w:val="right"/>
              <w:rPr>
                <w:sz w:val="20"/>
                <w:szCs w:val="20"/>
              </w:rPr>
            </w:pPr>
            <w:r w:rsidRPr="006667F3">
              <w:rPr>
                <w:sz w:val="20"/>
                <w:szCs w:val="20"/>
              </w:rPr>
              <w:t>38</w:t>
            </w:r>
          </w:p>
        </w:tc>
        <w:tc>
          <w:tcPr>
            <w:tcW w:w="960" w:type="dxa"/>
            <w:tcBorders>
              <w:top w:val="nil"/>
              <w:left w:val="nil"/>
              <w:bottom w:val="nil"/>
              <w:right w:val="nil"/>
            </w:tcBorders>
            <w:shd w:val="clear" w:color="auto" w:fill="auto"/>
            <w:noWrap/>
            <w:vAlign w:val="bottom"/>
            <w:hideMark/>
          </w:tcPr>
          <w:p w14:paraId="18659E51" w14:textId="77777777" w:rsidR="006667F3" w:rsidRPr="006667F3" w:rsidRDefault="006667F3" w:rsidP="006667F3">
            <w:pPr>
              <w:tabs>
                <w:tab w:val="clear" w:pos="284"/>
              </w:tabs>
              <w:spacing w:after="0" w:line="240" w:lineRule="auto"/>
              <w:jc w:val="right"/>
              <w:rPr>
                <w:sz w:val="20"/>
                <w:szCs w:val="20"/>
              </w:rPr>
            </w:pPr>
            <w:r w:rsidRPr="006667F3">
              <w:rPr>
                <w:sz w:val="20"/>
                <w:szCs w:val="20"/>
              </w:rPr>
              <w:t>36</w:t>
            </w:r>
          </w:p>
        </w:tc>
        <w:tc>
          <w:tcPr>
            <w:tcW w:w="960" w:type="dxa"/>
            <w:tcBorders>
              <w:top w:val="nil"/>
              <w:left w:val="nil"/>
              <w:bottom w:val="nil"/>
              <w:right w:val="nil"/>
            </w:tcBorders>
            <w:shd w:val="clear" w:color="auto" w:fill="auto"/>
            <w:noWrap/>
            <w:vAlign w:val="bottom"/>
            <w:hideMark/>
          </w:tcPr>
          <w:p w14:paraId="0D775542" w14:textId="77777777" w:rsidR="006667F3" w:rsidRPr="006667F3" w:rsidRDefault="006667F3" w:rsidP="006667F3">
            <w:pPr>
              <w:tabs>
                <w:tab w:val="clear" w:pos="284"/>
              </w:tabs>
              <w:spacing w:after="0" w:line="240" w:lineRule="auto"/>
              <w:jc w:val="right"/>
              <w:rPr>
                <w:sz w:val="20"/>
                <w:szCs w:val="20"/>
              </w:rPr>
            </w:pPr>
            <w:r w:rsidRPr="006667F3">
              <w:rPr>
                <w:sz w:val="20"/>
                <w:szCs w:val="20"/>
              </w:rPr>
              <w:t>33</w:t>
            </w:r>
          </w:p>
        </w:tc>
        <w:tc>
          <w:tcPr>
            <w:tcW w:w="960" w:type="dxa"/>
            <w:tcBorders>
              <w:top w:val="nil"/>
              <w:left w:val="nil"/>
              <w:bottom w:val="nil"/>
              <w:right w:val="nil"/>
            </w:tcBorders>
            <w:shd w:val="clear" w:color="auto" w:fill="auto"/>
            <w:noWrap/>
            <w:vAlign w:val="bottom"/>
            <w:hideMark/>
          </w:tcPr>
          <w:p w14:paraId="360E718F" w14:textId="77777777" w:rsidR="006667F3" w:rsidRPr="006667F3" w:rsidRDefault="006667F3" w:rsidP="006667F3">
            <w:pPr>
              <w:tabs>
                <w:tab w:val="clear" w:pos="284"/>
              </w:tabs>
              <w:spacing w:after="0" w:line="240" w:lineRule="auto"/>
              <w:jc w:val="right"/>
              <w:rPr>
                <w:sz w:val="20"/>
                <w:szCs w:val="20"/>
              </w:rPr>
            </w:pPr>
            <w:r w:rsidRPr="006667F3">
              <w:rPr>
                <w:sz w:val="20"/>
                <w:szCs w:val="20"/>
              </w:rPr>
              <w:t>45</w:t>
            </w:r>
          </w:p>
        </w:tc>
        <w:tc>
          <w:tcPr>
            <w:tcW w:w="960" w:type="dxa"/>
            <w:tcBorders>
              <w:top w:val="nil"/>
              <w:left w:val="nil"/>
              <w:bottom w:val="nil"/>
              <w:right w:val="nil"/>
            </w:tcBorders>
            <w:shd w:val="clear" w:color="auto" w:fill="auto"/>
            <w:noWrap/>
            <w:vAlign w:val="bottom"/>
            <w:hideMark/>
          </w:tcPr>
          <w:p w14:paraId="632757B5" w14:textId="77777777" w:rsidR="006667F3" w:rsidRPr="006667F3" w:rsidRDefault="006667F3" w:rsidP="006667F3">
            <w:pPr>
              <w:tabs>
                <w:tab w:val="clear" w:pos="284"/>
              </w:tabs>
              <w:spacing w:after="0" w:line="240" w:lineRule="auto"/>
              <w:jc w:val="right"/>
              <w:rPr>
                <w:sz w:val="20"/>
                <w:szCs w:val="20"/>
              </w:rPr>
            </w:pPr>
            <w:r w:rsidRPr="006667F3">
              <w:rPr>
                <w:sz w:val="20"/>
                <w:szCs w:val="20"/>
              </w:rPr>
              <w:t>37</w:t>
            </w:r>
          </w:p>
        </w:tc>
        <w:tc>
          <w:tcPr>
            <w:tcW w:w="960" w:type="dxa"/>
            <w:tcBorders>
              <w:top w:val="nil"/>
              <w:left w:val="nil"/>
              <w:bottom w:val="nil"/>
              <w:right w:val="nil"/>
            </w:tcBorders>
            <w:shd w:val="clear" w:color="auto" w:fill="auto"/>
            <w:noWrap/>
            <w:vAlign w:val="bottom"/>
            <w:hideMark/>
          </w:tcPr>
          <w:p w14:paraId="775CB602" w14:textId="77777777" w:rsidR="006667F3" w:rsidRPr="006667F3" w:rsidRDefault="006667F3" w:rsidP="006667F3">
            <w:pPr>
              <w:tabs>
                <w:tab w:val="clear" w:pos="284"/>
              </w:tabs>
              <w:spacing w:after="0" w:line="240" w:lineRule="auto"/>
              <w:jc w:val="right"/>
              <w:rPr>
                <w:sz w:val="20"/>
                <w:szCs w:val="20"/>
              </w:rPr>
            </w:pPr>
            <w:r w:rsidRPr="006667F3">
              <w:rPr>
                <w:sz w:val="20"/>
                <w:szCs w:val="20"/>
              </w:rPr>
              <w:t>44</w:t>
            </w:r>
          </w:p>
        </w:tc>
      </w:tr>
      <w:tr w:rsidR="006667F3" w:rsidRPr="006667F3" w14:paraId="014D40D3" w14:textId="77777777" w:rsidTr="00140CF6">
        <w:trPr>
          <w:trHeight w:val="255"/>
        </w:trPr>
        <w:tc>
          <w:tcPr>
            <w:tcW w:w="1701" w:type="dxa"/>
            <w:tcBorders>
              <w:top w:val="nil"/>
              <w:left w:val="nil"/>
              <w:bottom w:val="nil"/>
              <w:right w:val="nil"/>
            </w:tcBorders>
            <w:shd w:val="clear" w:color="auto" w:fill="auto"/>
            <w:noWrap/>
            <w:vAlign w:val="bottom"/>
            <w:hideMark/>
          </w:tcPr>
          <w:p w14:paraId="5B4DEB74" w14:textId="77777777" w:rsidR="006667F3" w:rsidRPr="006667F3" w:rsidRDefault="006667F3" w:rsidP="006667F3">
            <w:pPr>
              <w:tabs>
                <w:tab w:val="clear" w:pos="284"/>
              </w:tabs>
              <w:spacing w:after="0" w:line="240" w:lineRule="auto"/>
              <w:rPr>
                <w:sz w:val="20"/>
                <w:szCs w:val="20"/>
              </w:rPr>
            </w:pPr>
            <w:r w:rsidRPr="006667F3">
              <w:rPr>
                <w:sz w:val="20"/>
                <w:szCs w:val="20"/>
              </w:rPr>
              <w:t>Germany</w:t>
            </w:r>
          </w:p>
        </w:tc>
        <w:tc>
          <w:tcPr>
            <w:tcW w:w="709" w:type="dxa"/>
            <w:tcBorders>
              <w:top w:val="nil"/>
              <w:left w:val="nil"/>
              <w:bottom w:val="nil"/>
              <w:right w:val="nil"/>
            </w:tcBorders>
            <w:shd w:val="clear" w:color="auto" w:fill="auto"/>
            <w:noWrap/>
            <w:vAlign w:val="bottom"/>
            <w:hideMark/>
          </w:tcPr>
          <w:p w14:paraId="574E9D00" w14:textId="77777777" w:rsidR="006667F3" w:rsidRPr="006667F3" w:rsidRDefault="006667F3" w:rsidP="006667F3">
            <w:pPr>
              <w:tabs>
                <w:tab w:val="clear" w:pos="284"/>
              </w:tabs>
              <w:spacing w:after="0" w:line="240" w:lineRule="auto"/>
              <w:jc w:val="right"/>
              <w:rPr>
                <w:sz w:val="20"/>
                <w:szCs w:val="20"/>
              </w:rPr>
            </w:pPr>
            <w:r w:rsidRPr="006667F3">
              <w:rPr>
                <w:sz w:val="20"/>
                <w:szCs w:val="20"/>
              </w:rPr>
              <w:t>7</w:t>
            </w:r>
          </w:p>
        </w:tc>
        <w:tc>
          <w:tcPr>
            <w:tcW w:w="960" w:type="dxa"/>
            <w:tcBorders>
              <w:top w:val="nil"/>
              <w:left w:val="nil"/>
              <w:bottom w:val="nil"/>
              <w:right w:val="nil"/>
            </w:tcBorders>
            <w:shd w:val="clear" w:color="auto" w:fill="auto"/>
            <w:noWrap/>
            <w:vAlign w:val="bottom"/>
            <w:hideMark/>
          </w:tcPr>
          <w:p w14:paraId="7DE9FD5C" w14:textId="77777777" w:rsidR="006667F3" w:rsidRPr="006667F3" w:rsidRDefault="006667F3" w:rsidP="006667F3">
            <w:pPr>
              <w:tabs>
                <w:tab w:val="clear" w:pos="284"/>
              </w:tabs>
              <w:spacing w:after="0" w:line="240" w:lineRule="auto"/>
              <w:jc w:val="right"/>
              <w:rPr>
                <w:sz w:val="20"/>
                <w:szCs w:val="20"/>
              </w:rPr>
            </w:pPr>
            <w:r w:rsidRPr="006667F3">
              <w:rPr>
                <w:sz w:val="20"/>
                <w:szCs w:val="20"/>
              </w:rPr>
              <w:t>6</w:t>
            </w:r>
          </w:p>
        </w:tc>
        <w:tc>
          <w:tcPr>
            <w:tcW w:w="960" w:type="dxa"/>
            <w:tcBorders>
              <w:top w:val="nil"/>
              <w:left w:val="nil"/>
              <w:bottom w:val="nil"/>
              <w:right w:val="nil"/>
            </w:tcBorders>
            <w:shd w:val="clear" w:color="auto" w:fill="auto"/>
            <w:noWrap/>
            <w:vAlign w:val="bottom"/>
            <w:hideMark/>
          </w:tcPr>
          <w:p w14:paraId="14A9B600" w14:textId="77777777" w:rsidR="006667F3" w:rsidRPr="006667F3" w:rsidRDefault="006667F3" w:rsidP="006667F3">
            <w:pPr>
              <w:tabs>
                <w:tab w:val="clear" w:pos="284"/>
              </w:tabs>
              <w:spacing w:after="0" w:line="240" w:lineRule="auto"/>
              <w:jc w:val="right"/>
              <w:rPr>
                <w:sz w:val="20"/>
                <w:szCs w:val="20"/>
              </w:rPr>
            </w:pPr>
            <w:r w:rsidRPr="006667F3">
              <w:rPr>
                <w:sz w:val="20"/>
                <w:szCs w:val="20"/>
              </w:rPr>
              <w:t>10</w:t>
            </w:r>
          </w:p>
        </w:tc>
        <w:tc>
          <w:tcPr>
            <w:tcW w:w="960" w:type="dxa"/>
            <w:tcBorders>
              <w:top w:val="nil"/>
              <w:left w:val="nil"/>
              <w:bottom w:val="nil"/>
              <w:right w:val="nil"/>
            </w:tcBorders>
            <w:shd w:val="clear" w:color="auto" w:fill="auto"/>
            <w:noWrap/>
            <w:vAlign w:val="bottom"/>
            <w:hideMark/>
          </w:tcPr>
          <w:p w14:paraId="4DB7CFFA" w14:textId="77777777" w:rsidR="006667F3" w:rsidRPr="006667F3" w:rsidRDefault="006667F3" w:rsidP="006667F3">
            <w:pPr>
              <w:tabs>
                <w:tab w:val="clear" w:pos="284"/>
              </w:tabs>
              <w:spacing w:after="0" w:line="240" w:lineRule="auto"/>
              <w:jc w:val="right"/>
              <w:rPr>
                <w:sz w:val="20"/>
                <w:szCs w:val="20"/>
              </w:rPr>
            </w:pPr>
            <w:r w:rsidRPr="006667F3">
              <w:rPr>
                <w:sz w:val="20"/>
                <w:szCs w:val="20"/>
              </w:rPr>
              <w:t>12</w:t>
            </w:r>
          </w:p>
        </w:tc>
        <w:tc>
          <w:tcPr>
            <w:tcW w:w="960" w:type="dxa"/>
            <w:tcBorders>
              <w:top w:val="nil"/>
              <w:left w:val="nil"/>
              <w:bottom w:val="nil"/>
              <w:right w:val="nil"/>
            </w:tcBorders>
            <w:shd w:val="clear" w:color="auto" w:fill="auto"/>
            <w:noWrap/>
            <w:vAlign w:val="bottom"/>
            <w:hideMark/>
          </w:tcPr>
          <w:p w14:paraId="1FB28995" w14:textId="77777777" w:rsidR="006667F3" w:rsidRPr="006667F3" w:rsidRDefault="006667F3" w:rsidP="006667F3">
            <w:pPr>
              <w:tabs>
                <w:tab w:val="clear" w:pos="284"/>
              </w:tabs>
              <w:spacing w:after="0" w:line="240" w:lineRule="auto"/>
              <w:jc w:val="right"/>
              <w:rPr>
                <w:sz w:val="20"/>
                <w:szCs w:val="20"/>
              </w:rPr>
            </w:pPr>
            <w:r w:rsidRPr="006667F3">
              <w:rPr>
                <w:sz w:val="20"/>
                <w:szCs w:val="20"/>
              </w:rPr>
              <w:t>12</w:t>
            </w:r>
          </w:p>
        </w:tc>
        <w:tc>
          <w:tcPr>
            <w:tcW w:w="960" w:type="dxa"/>
            <w:tcBorders>
              <w:top w:val="nil"/>
              <w:left w:val="nil"/>
              <w:bottom w:val="nil"/>
              <w:right w:val="nil"/>
            </w:tcBorders>
            <w:shd w:val="clear" w:color="auto" w:fill="auto"/>
            <w:noWrap/>
            <w:vAlign w:val="bottom"/>
            <w:hideMark/>
          </w:tcPr>
          <w:p w14:paraId="1F54D1DA" w14:textId="77777777" w:rsidR="006667F3" w:rsidRPr="006667F3" w:rsidRDefault="006667F3" w:rsidP="006667F3">
            <w:pPr>
              <w:tabs>
                <w:tab w:val="clear" w:pos="284"/>
              </w:tabs>
              <w:spacing w:after="0" w:line="240" w:lineRule="auto"/>
              <w:jc w:val="right"/>
              <w:rPr>
                <w:sz w:val="20"/>
                <w:szCs w:val="20"/>
              </w:rPr>
            </w:pPr>
            <w:r w:rsidRPr="006667F3">
              <w:rPr>
                <w:sz w:val="20"/>
                <w:szCs w:val="20"/>
              </w:rPr>
              <w:t>31</w:t>
            </w:r>
          </w:p>
        </w:tc>
        <w:tc>
          <w:tcPr>
            <w:tcW w:w="960" w:type="dxa"/>
            <w:tcBorders>
              <w:top w:val="nil"/>
              <w:left w:val="nil"/>
              <w:bottom w:val="nil"/>
              <w:right w:val="nil"/>
            </w:tcBorders>
            <w:shd w:val="clear" w:color="auto" w:fill="auto"/>
            <w:noWrap/>
            <w:vAlign w:val="bottom"/>
            <w:hideMark/>
          </w:tcPr>
          <w:p w14:paraId="14035EEE" w14:textId="77777777" w:rsidR="006667F3" w:rsidRPr="006667F3" w:rsidRDefault="006667F3" w:rsidP="006667F3">
            <w:pPr>
              <w:tabs>
                <w:tab w:val="clear" w:pos="284"/>
              </w:tabs>
              <w:spacing w:after="0" w:line="240" w:lineRule="auto"/>
              <w:jc w:val="right"/>
              <w:rPr>
                <w:sz w:val="20"/>
                <w:szCs w:val="20"/>
              </w:rPr>
            </w:pPr>
            <w:r w:rsidRPr="006667F3">
              <w:rPr>
                <w:sz w:val="20"/>
                <w:szCs w:val="20"/>
              </w:rPr>
              <w:t>37</w:t>
            </w:r>
          </w:p>
        </w:tc>
        <w:tc>
          <w:tcPr>
            <w:tcW w:w="960" w:type="dxa"/>
            <w:tcBorders>
              <w:top w:val="nil"/>
              <w:left w:val="nil"/>
              <w:bottom w:val="nil"/>
              <w:right w:val="nil"/>
            </w:tcBorders>
            <w:shd w:val="clear" w:color="auto" w:fill="auto"/>
            <w:noWrap/>
            <w:vAlign w:val="bottom"/>
            <w:hideMark/>
          </w:tcPr>
          <w:p w14:paraId="605D95EB" w14:textId="77777777" w:rsidR="006667F3" w:rsidRPr="006667F3" w:rsidRDefault="006667F3" w:rsidP="006667F3">
            <w:pPr>
              <w:tabs>
                <w:tab w:val="clear" w:pos="284"/>
              </w:tabs>
              <w:spacing w:after="0" w:line="240" w:lineRule="auto"/>
              <w:jc w:val="right"/>
              <w:rPr>
                <w:sz w:val="20"/>
                <w:szCs w:val="20"/>
              </w:rPr>
            </w:pPr>
            <w:r w:rsidRPr="006667F3">
              <w:rPr>
                <w:sz w:val="20"/>
                <w:szCs w:val="20"/>
              </w:rPr>
              <w:t>38</w:t>
            </w:r>
          </w:p>
        </w:tc>
      </w:tr>
      <w:tr w:rsidR="006667F3" w:rsidRPr="006667F3" w14:paraId="719940B2" w14:textId="77777777" w:rsidTr="00140CF6">
        <w:trPr>
          <w:trHeight w:val="255"/>
        </w:trPr>
        <w:tc>
          <w:tcPr>
            <w:tcW w:w="1701" w:type="dxa"/>
            <w:tcBorders>
              <w:top w:val="nil"/>
              <w:left w:val="nil"/>
              <w:bottom w:val="nil"/>
              <w:right w:val="nil"/>
            </w:tcBorders>
            <w:shd w:val="clear" w:color="auto" w:fill="auto"/>
            <w:noWrap/>
            <w:vAlign w:val="bottom"/>
            <w:hideMark/>
          </w:tcPr>
          <w:p w14:paraId="0BBC9A13" w14:textId="77777777" w:rsidR="006667F3" w:rsidRPr="006667F3" w:rsidRDefault="006667F3" w:rsidP="006667F3">
            <w:pPr>
              <w:tabs>
                <w:tab w:val="clear" w:pos="284"/>
              </w:tabs>
              <w:spacing w:after="0" w:line="240" w:lineRule="auto"/>
              <w:rPr>
                <w:sz w:val="20"/>
                <w:szCs w:val="20"/>
              </w:rPr>
            </w:pPr>
            <w:r w:rsidRPr="006667F3">
              <w:rPr>
                <w:sz w:val="20"/>
                <w:szCs w:val="20"/>
              </w:rPr>
              <w:t>Finland</w:t>
            </w:r>
          </w:p>
        </w:tc>
        <w:tc>
          <w:tcPr>
            <w:tcW w:w="709" w:type="dxa"/>
            <w:tcBorders>
              <w:top w:val="nil"/>
              <w:left w:val="nil"/>
              <w:bottom w:val="nil"/>
              <w:right w:val="nil"/>
            </w:tcBorders>
            <w:shd w:val="clear" w:color="auto" w:fill="auto"/>
            <w:noWrap/>
            <w:vAlign w:val="bottom"/>
            <w:hideMark/>
          </w:tcPr>
          <w:p w14:paraId="5D6F7FF4" w14:textId="77777777" w:rsidR="006667F3" w:rsidRPr="006667F3" w:rsidRDefault="006667F3" w:rsidP="006667F3">
            <w:pPr>
              <w:tabs>
                <w:tab w:val="clear" w:pos="284"/>
              </w:tabs>
              <w:spacing w:after="0" w:line="240" w:lineRule="auto"/>
              <w:jc w:val="right"/>
              <w:rPr>
                <w:sz w:val="20"/>
                <w:szCs w:val="20"/>
              </w:rPr>
            </w:pPr>
            <w:r w:rsidRPr="006667F3">
              <w:rPr>
                <w:sz w:val="20"/>
                <w:szCs w:val="20"/>
              </w:rPr>
              <w:t>60</w:t>
            </w:r>
          </w:p>
        </w:tc>
        <w:tc>
          <w:tcPr>
            <w:tcW w:w="960" w:type="dxa"/>
            <w:tcBorders>
              <w:top w:val="nil"/>
              <w:left w:val="nil"/>
              <w:bottom w:val="nil"/>
              <w:right w:val="nil"/>
            </w:tcBorders>
            <w:shd w:val="clear" w:color="auto" w:fill="auto"/>
            <w:noWrap/>
            <w:vAlign w:val="bottom"/>
            <w:hideMark/>
          </w:tcPr>
          <w:p w14:paraId="198C89B3" w14:textId="77777777" w:rsidR="006667F3" w:rsidRPr="006667F3" w:rsidRDefault="006667F3" w:rsidP="006667F3">
            <w:pPr>
              <w:tabs>
                <w:tab w:val="clear" w:pos="284"/>
              </w:tabs>
              <w:spacing w:after="0" w:line="240" w:lineRule="auto"/>
              <w:jc w:val="right"/>
              <w:rPr>
                <w:sz w:val="20"/>
                <w:szCs w:val="20"/>
              </w:rPr>
            </w:pPr>
            <w:r w:rsidRPr="006667F3">
              <w:rPr>
                <w:sz w:val="20"/>
                <w:szCs w:val="20"/>
              </w:rPr>
              <w:t>57</w:t>
            </w:r>
          </w:p>
        </w:tc>
        <w:tc>
          <w:tcPr>
            <w:tcW w:w="960" w:type="dxa"/>
            <w:tcBorders>
              <w:top w:val="nil"/>
              <w:left w:val="nil"/>
              <w:bottom w:val="nil"/>
              <w:right w:val="nil"/>
            </w:tcBorders>
            <w:shd w:val="clear" w:color="auto" w:fill="auto"/>
            <w:noWrap/>
            <w:vAlign w:val="bottom"/>
            <w:hideMark/>
          </w:tcPr>
          <w:p w14:paraId="3F8B4FED" w14:textId="77777777" w:rsidR="006667F3" w:rsidRPr="006667F3" w:rsidRDefault="006667F3" w:rsidP="006667F3">
            <w:pPr>
              <w:tabs>
                <w:tab w:val="clear" w:pos="284"/>
              </w:tabs>
              <w:spacing w:after="0" w:line="240" w:lineRule="auto"/>
              <w:jc w:val="right"/>
              <w:rPr>
                <w:sz w:val="20"/>
                <w:szCs w:val="20"/>
              </w:rPr>
            </w:pPr>
            <w:r w:rsidRPr="006667F3">
              <w:rPr>
                <w:sz w:val="20"/>
                <w:szCs w:val="20"/>
              </w:rPr>
              <w:t>67</w:t>
            </w:r>
          </w:p>
        </w:tc>
        <w:tc>
          <w:tcPr>
            <w:tcW w:w="960" w:type="dxa"/>
            <w:tcBorders>
              <w:top w:val="nil"/>
              <w:left w:val="nil"/>
              <w:bottom w:val="nil"/>
              <w:right w:val="nil"/>
            </w:tcBorders>
            <w:shd w:val="clear" w:color="auto" w:fill="auto"/>
            <w:noWrap/>
            <w:vAlign w:val="bottom"/>
            <w:hideMark/>
          </w:tcPr>
          <w:p w14:paraId="5E85FDE7" w14:textId="77777777" w:rsidR="006667F3" w:rsidRPr="006667F3" w:rsidRDefault="006667F3" w:rsidP="006667F3">
            <w:pPr>
              <w:tabs>
                <w:tab w:val="clear" w:pos="284"/>
              </w:tabs>
              <w:spacing w:after="0" w:line="240" w:lineRule="auto"/>
              <w:jc w:val="right"/>
              <w:rPr>
                <w:sz w:val="20"/>
                <w:szCs w:val="20"/>
              </w:rPr>
            </w:pPr>
            <w:r w:rsidRPr="006667F3">
              <w:rPr>
                <w:sz w:val="20"/>
                <w:szCs w:val="20"/>
              </w:rPr>
              <w:t>81</w:t>
            </w:r>
          </w:p>
        </w:tc>
        <w:tc>
          <w:tcPr>
            <w:tcW w:w="960" w:type="dxa"/>
            <w:tcBorders>
              <w:top w:val="nil"/>
              <w:left w:val="nil"/>
              <w:bottom w:val="nil"/>
              <w:right w:val="nil"/>
            </w:tcBorders>
            <w:shd w:val="clear" w:color="auto" w:fill="auto"/>
            <w:noWrap/>
            <w:vAlign w:val="bottom"/>
            <w:hideMark/>
          </w:tcPr>
          <w:p w14:paraId="556A79B5" w14:textId="77777777" w:rsidR="006667F3" w:rsidRPr="006667F3" w:rsidRDefault="006667F3" w:rsidP="006667F3">
            <w:pPr>
              <w:tabs>
                <w:tab w:val="clear" w:pos="284"/>
              </w:tabs>
              <w:spacing w:after="0" w:line="240" w:lineRule="auto"/>
              <w:jc w:val="right"/>
              <w:rPr>
                <w:sz w:val="20"/>
                <w:szCs w:val="20"/>
              </w:rPr>
            </w:pPr>
            <w:r w:rsidRPr="006667F3">
              <w:rPr>
                <w:sz w:val="20"/>
                <w:szCs w:val="20"/>
              </w:rPr>
              <w:t>56</w:t>
            </w:r>
          </w:p>
        </w:tc>
        <w:tc>
          <w:tcPr>
            <w:tcW w:w="960" w:type="dxa"/>
            <w:tcBorders>
              <w:top w:val="nil"/>
              <w:left w:val="nil"/>
              <w:bottom w:val="nil"/>
              <w:right w:val="nil"/>
            </w:tcBorders>
            <w:shd w:val="clear" w:color="auto" w:fill="auto"/>
            <w:noWrap/>
            <w:vAlign w:val="bottom"/>
            <w:hideMark/>
          </w:tcPr>
          <w:p w14:paraId="70CBF915" w14:textId="77777777" w:rsidR="006667F3" w:rsidRPr="006667F3" w:rsidRDefault="006667F3" w:rsidP="006667F3">
            <w:pPr>
              <w:tabs>
                <w:tab w:val="clear" w:pos="284"/>
              </w:tabs>
              <w:spacing w:after="0" w:line="240" w:lineRule="auto"/>
              <w:jc w:val="right"/>
              <w:rPr>
                <w:sz w:val="20"/>
                <w:szCs w:val="20"/>
              </w:rPr>
            </w:pPr>
            <w:r w:rsidRPr="006667F3">
              <w:rPr>
                <w:sz w:val="20"/>
                <w:szCs w:val="20"/>
              </w:rPr>
              <w:t>41</w:t>
            </w:r>
          </w:p>
        </w:tc>
        <w:tc>
          <w:tcPr>
            <w:tcW w:w="960" w:type="dxa"/>
            <w:tcBorders>
              <w:top w:val="nil"/>
              <w:left w:val="nil"/>
              <w:bottom w:val="nil"/>
              <w:right w:val="nil"/>
            </w:tcBorders>
            <w:shd w:val="clear" w:color="auto" w:fill="auto"/>
            <w:noWrap/>
            <w:vAlign w:val="bottom"/>
            <w:hideMark/>
          </w:tcPr>
          <w:p w14:paraId="5C1F7CC9" w14:textId="77777777" w:rsidR="006667F3" w:rsidRPr="006667F3" w:rsidRDefault="006667F3" w:rsidP="006667F3">
            <w:pPr>
              <w:tabs>
                <w:tab w:val="clear" w:pos="284"/>
              </w:tabs>
              <w:spacing w:after="0" w:line="240" w:lineRule="auto"/>
              <w:jc w:val="right"/>
              <w:rPr>
                <w:sz w:val="20"/>
                <w:szCs w:val="20"/>
              </w:rPr>
            </w:pPr>
            <w:r w:rsidRPr="006667F3">
              <w:rPr>
                <w:sz w:val="20"/>
                <w:szCs w:val="20"/>
              </w:rPr>
              <w:t>32</w:t>
            </w:r>
          </w:p>
        </w:tc>
        <w:tc>
          <w:tcPr>
            <w:tcW w:w="960" w:type="dxa"/>
            <w:tcBorders>
              <w:top w:val="nil"/>
              <w:left w:val="nil"/>
              <w:bottom w:val="nil"/>
              <w:right w:val="nil"/>
            </w:tcBorders>
            <w:shd w:val="clear" w:color="auto" w:fill="auto"/>
            <w:noWrap/>
            <w:vAlign w:val="bottom"/>
            <w:hideMark/>
          </w:tcPr>
          <w:p w14:paraId="3F030310" w14:textId="77777777" w:rsidR="006667F3" w:rsidRPr="006667F3" w:rsidRDefault="006667F3" w:rsidP="006667F3">
            <w:pPr>
              <w:tabs>
                <w:tab w:val="clear" w:pos="284"/>
              </w:tabs>
              <w:spacing w:after="0" w:line="240" w:lineRule="auto"/>
              <w:jc w:val="right"/>
              <w:rPr>
                <w:sz w:val="20"/>
                <w:szCs w:val="20"/>
              </w:rPr>
            </w:pPr>
            <w:r w:rsidRPr="006667F3">
              <w:rPr>
                <w:sz w:val="20"/>
                <w:szCs w:val="20"/>
              </w:rPr>
              <w:t>33</w:t>
            </w:r>
          </w:p>
        </w:tc>
      </w:tr>
      <w:tr w:rsidR="006667F3" w:rsidRPr="006667F3" w14:paraId="108B4134" w14:textId="77777777" w:rsidTr="00140CF6">
        <w:trPr>
          <w:trHeight w:val="255"/>
        </w:trPr>
        <w:tc>
          <w:tcPr>
            <w:tcW w:w="1701" w:type="dxa"/>
            <w:tcBorders>
              <w:top w:val="nil"/>
              <w:left w:val="nil"/>
              <w:bottom w:val="nil"/>
              <w:right w:val="nil"/>
            </w:tcBorders>
            <w:shd w:val="clear" w:color="auto" w:fill="auto"/>
            <w:noWrap/>
            <w:vAlign w:val="bottom"/>
            <w:hideMark/>
          </w:tcPr>
          <w:p w14:paraId="1F53DC3C" w14:textId="77777777" w:rsidR="006667F3" w:rsidRPr="006667F3" w:rsidRDefault="006667F3" w:rsidP="006667F3">
            <w:pPr>
              <w:tabs>
                <w:tab w:val="clear" w:pos="284"/>
              </w:tabs>
              <w:spacing w:after="0" w:line="240" w:lineRule="auto"/>
              <w:rPr>
                <w:sz w:val="20"/>
                <w:szCs w:val="20"/>
              </w:rPr>
            </w:pPr>
            <w:r w:rsidRPr="006667F3">
              <w:rPr>
                <w:sz w:val="20"/>
                <w:szCs w:val="20"/>
              </w:rPr>
              <w:t>Canada</w:t>
            </w:r>
          </w:p>
        </w:tc>
        <w:tc>
          <w:tcPr>
            <w:tcW w:w="709" w:type="dxa"/>
            <w:tcBorders>
              <w:top w:val="nil"/>
              <w:left w:val="nil"/>
              <w:bottom w:val="nil"/>
              <w:right w:val="nil"/>
            </w:tcBorders>
            <w:shd w:val="clear" w:color="auto" w:fill="auto"/>
            <w:noWrap/>
            <w:vAlign w:val="bottom"/>
            <w:hideMark/>
          </w:tcPr>
          <w:p w14:paraId="6F34AF1A" w14:textId="77777777" w:rsidR="006667F3" w:rsidRPr="006667F3" w:rsidRDefault="006667F3" w:rsidP="006667F3">
            <w:pPr>
              <w:tabs>
                <w:tab w:val="clear" w:pos="284"/>
              </w:tabs>
              <w:spacing w:after="0" w:line="240" w:lineRule="auto"/>
              <w:jc w:val="right"/>
              <w:rPr>
                <w:sz w:val="20"/>
                <w:szCs w:val="20"/>
              </w:rPr>
            </w:pPr>
            <w:r w:rsidRPr="006667F3">
              <w:rPr>
                <w:sz w:val="20"/>
                <w:szCs w:val="20"/>
              </w:rPr>
              <w:t>32</w:t>
            </w:r>
          </w:p>
        </w:tc>
        <w:tc>
          <w:tcPr>
            <w:tcW w:w="960" w:type="dxa"/>
            <w:tcBorders>
              <w:top w:val="nil"/>
              <w:left w:val="nil"/>
              <w:bottom w:val="nil"/>
              <w:right w:val="nil"/>
            </w:tcBorders>
            <w:shd w:val="clear" w:color="auto" w:fill="auto"/>
            <w:noWrap/>
            <w:vAlign w:val="bottom"/>
            <w:hideMark/>
          </w:tcPr>
          <w:p w14:paraId="532E7952" w14:textId="77777777" w:rsidR="006667F3" w:rsidRPr="006667F3" w:rsidRDefault="006667F3" w:rsidP="006667F3">
            <w:pPr>
              <w:tabs>
                <w:tab w:val="clear" w:pos="284"/>
              </w:tabs>
              <w:spacing w:after="0" w:line="240" w:lineRule="auto"/>
              <w:jc w:val="right"/>
              <w:rPr>
                <w:sz w:val="20"/>
                <w:szCs w:val="20"/>
              </w:rPr>
            </w:pPr>
            <w:r w:rsidRPr="006667F3">
              <w:rPr>
                <w:sz w:val="20"/>
                <w:szCs w:val="20"/>
              </w:rPr>
              <w:t>32</w:t>
            </w:r>
          </w:p>
        </w:tc>
        <w:tc>
          <w:tcPr>
            <w:tcW w:w="960" w:type="dxa"/>
            <w:tcBorders>
              <w:top w:val="nil"/>
              <w:left w:val="nil"/>
              <w:bottom w:val="nil"/>
              <w:right w:val="nil"/>
            </w:tcBorders>
            <w:shd w:val="clear" w:color="auto" w:fill="auto"/>
            <w:noWrap/>
            <w:vAlign w:val="bottom"/>
            <w:hideMark/>
          </w:tcPr>
          <w:p w14:paraId="38F128D0" w14:textId="77777777" w:rsidR="006667F3" w:rsidRPr="006667F3" w:rsidRDefault="006667F3" w:rsidP="006667F3">
            <w:pPr>
              <w:tabs>
                <w:tab w:val="clear" w:pos="284"/>
              </w:tabs>
              <w:spacing w:after="0" w:line="240" w:lineRule="auto"/>
              <w:jc w:val="right"/>
              <w:rPr>
                <w:sz w:val="20"/>
                <w:szCs w:val="20"/>
              </w:rPr>
            </w:pPr>
            <w:r w:rsidRPr="006667F3">
              <w:rPr>
                <w:sz w:val="20"/>
                <w:szCs w:val="20"/>
              </w:rPr>
              <w:t>32</w:t>
            </w:r>
          </w:p>
        </w:tc>
        <w:tc>
          <w:tcPr>
            <w:tcW w:w="960" w:type="dxa"/>
            <w:tcBorders>
              <w:top w:val="nil"/>
              <w:left w:val="nil"/>
              <w:bottom w:val="nil"/>
              <w:right w:val="nil"/>
            </w:tcBorders>
            <w:shd w:val="clear" w:color="auto" w:fill="auto"/>
            <w:noWrap/>
            <w:vAlign w:val="bottom"/>
            <w:hideMark/>
          </w:tcPr>
          <w:p w14:paraId="16B78E3B" w14:textId="77777777" w:rsidR="006667F3" w:rsidRPr="006667F3" w:rsidRDefault="006667F3" w:rsidP="006667F3">
            <w:pPr>
              <w:tabs>
                <w:tab w:val="clear" w:pos="284"/>
              </w:tabs>
              <w:spacing w:after="0" w:line="240" w:lineRule="auto"/>
              <w:jc w:val="right"/>
              <w:rPr>
                <w:sz w:val="20"/>
                <w:szCs w:val="20"/>
              </w:rPr>
            </w:pPr>
            <w:r w:rsidRPr="006667F3">
              <w:rPr>
                <w:sz w:val="20"/>
                <w:szCs w:val="20"/>
              </w:rPr>
              <w:t>28</w:t>
            </w:r>
          </w:p>
        </w:tc>
        <w:tc>
          <w:tcPr>
            <w:tcW w:w="960" w:type="dxa"/>
            <w:tcBorders>
              <w:top w:val="nil"/>
              <w:left w:val="nil"/>
              <w:bottom w:val="nil"/>
              <w:right w:val="nil"/>
            </w:tcBorders>
            <w:shd w:val="clear" w:color="auto" w:fill="auto"/>
            <w:noWrap/>
            <w:vAlign w:val="bottom"/>
            <w:hideMark/>
          </w:tcPr>
          <w:p w14:paraId="1AD818AB" w14:textId="77777777" w:rsidR="006667F3" w:rsidRPr="006667F3" w:rsidRDefault="006667F3" w:rsidP="006667F3">
            <w:pPr>
              <w:tabs>
                <w:tab w:val="clear" w:pos="284"/>
              </w:tabs>
              <w:spacing w:after="0" w:line="240" w:lineRule="auto"/>
              <w:jc w:val="right"/>
              <w:rPr>
                <w:sz w:val="20"/>
                <w:szCs w:val="20"/>
              </w:rPr>
            </w:pPr>
            <w:r w:rsidRPr="006667F3">
              <w:rPr>
                <w:sz w:val="20"/>
                <w:szCs w:val="20"/>
              </w:rPr>
              <w:t>28</w:t>
            </w:r>
          </w:p>
        </w:tc>
        <w:tc>
          <w:tcPr>
            <w:tcW w:w="960" w:type="dxa"/>
            <w:tcBorders>
              <w:top w:val="nil"/>
              <w:left w:val="nil"/>
              <w:bottom w:val="nil"/>
              <w:right w:val="nil"/>
            </w:tcBorders>
            <w:shd w:val="clear" w:color="auto" w:fill="auto"/>
            <w:noWrap/>
            <w:vAlign w:val="bottom"/>
            <w:hideMark/>
          </w:tcPr>
          <w:p w14:paraId="6F372A8A" w14:textId="77777777" w:rsidR="006667F3" w:rsidRPr="006667F3" w:rsidRDefault="006667F3" w:rsidP="006667F3">
            <w:pPr>
              <w:tabs>
                <w:tab w:val="clear" w:pos="284"/>
              </w:tabs>
              <w:spacing w:after="0" w:line="240" w:lineRule="auto"/>
              <w:jc w:val="right"/>
              <w:rPr>
                <w:sz w:val="20"/>
                <w:szCs w:val="20"/>
              </w:rPr>
            </w:pPr>
            <w:r w:rsidRPr="006667F3">
              <w:rPr>
                <w:sz w:val="20"/>
                <w:szCs w:val="20"/>
              </w:rPr>
              <w:t>23</w:t>
            </w:r>
          </w:p>
        </w:tc>
        <w:tc>
          <w:tcPr>
            <w:tcW w:w="960" w:type="dxa"/>
            <w:tcBorders>
              <w:top w:val="nil"/>
              <w:left w:val="nil"/>
              <w:bottom w:val="nil"/>
              <w:right w:val="nil"/>
            </w:tcBorders>
            <w:shd w:val="clear" w:color="auto" w:fill="auto"/>
            <w:noWrap/>
            <w:vAlign w:val="bottom"/>
            <w:hideMark/>
          </w:tcPr>
          <w:p w14:paraId="3267E8D8" w14:textId="77777777" w:rsidR="006667F3" w:rsidRPr="006667F3" w:rsidRDefault="006667F3" w:rsidP="006667F3">
            <w:pPr>
              <w:tabs>
                <w:tab w:val="clear" w:pos="284"/>
              </w:tabs>
              <w:spacing w:after="0" w:line="240" w:lineRule="auto"/>
              <w:jc w:val="right"/>
              <w:rPr>
                <w:sz w:val="20"/>
                <w:szCs w:val="20"/>
              </w:rPr>
            </w:pPr>
            <w:r w:rsidRPr="006667F3">
              <w:rPr>
                <w:sz w:val="20"/>
                <w:szCs w:val="20"/>
              </w:rPr>
              <w:t>23</w:t>
            </w:r>
          </w:p>
        </w:tc>
        <w:tc>
          <w:tcPr>
            <w:tcW w:w="960" w:type="dxa"/>
            <w:tcBorders>
              <w:top w:val="nil"/>
              <w:left w:val="nil"/>
              <w:bottom w:val="nil"/>
              <w:right w:val="nil"/>
            </w:tcBorders>
            <w:shd w:val="clear" w:color="auto" w:fill="auto"/>
            <w:noWrap/>
            <w:vAlign w:val="bottom"/>
            <w:hideMark/>
          </w:tcPr>
          <w:p w14:paraId="575C71EC" w14:textId="77777777" w:rsidR="006667F3" w:rsidRPr="006667F3" w:rsidRDefault="006667F3" w:rsidP="006667F3">
            <w:pPr>
              <w:tabs>
                <w:tab w:val="clear" w:pos="284"/>
              </w:tabs>
              <w:spacing w:after="0" w:line="240" w:lineRule="auto"/>
              <w:jc w:val="right"/>
              <w:rPr>
                <w:sz w:val="20"/>
                <w:szCs w:val="20"/>
              </w:rPr>
            </w:pPr>
            <w:r w:rsidRPr="006667F3">
              <w:rPr>
                <w:sz w:val="20"/>
                <w:szCs w:val="20"/>
              </w:rPr>
              <w:t>26</w:t>
            </w:r>
          </w:p>
        </w:tc>
      </w:tr>
      <w:tr w:rsidR="006667F3" w:rsidRPr="006667F3" w14:paraId="401B4EDA" w14:textId="77777777" w:rsidTr="00140CF6">
        <w:trPr>
          <w:trHeight w:val="255"/>
        </w:trPr>
        <w:tc>
          <w:tcPr>
            <w:tcW w:w="1701" w:type="dxa"/>
            <w:tcBorders>
              <w:top w:val="nil"/>
              <w:left w:val="nil"/>
              <w:bottom w:val="nil"/>
              <w:right w:val="nil"/>
            </w:tcBorders>
            <w:shd w:val="clear" w:color="auto" w:fill="auto"/>
            <w:noWrap/>
            <w:vAlign w:val="bottom"/>
            <w:hideMark/>
          </w:tcPr>
          <w:p w14:paraId="495132E5" w14:textId="77777777" w:rsidR="006667F3" w:rsidRPr="006667F3" w:rsidRDefault="006667F3" w:rsidP="006667F3">
            <w:pPr>
              <w:tabs>
                <w:tab w:val="clear" w:pos="284"/>
              </w:tabs>
              <w:spacing w:after="0" w:line="240" w:lineRule="auto"/>
              <w:rPr>
                <w:sz w:val="20"/>
                <w:szCs w:val="20"/>
              </w:rPr>
            </w:pPr>
            <w:r w:rsidRPr="006667F3">
              <w:rPr>
                <w:sz w:val="20"/>
                <w:szCs w:val="20"/>
              </w:rPr>
              <w:t>Belgium</w:t>
            </w:r>
          </w:p>
        </w:tc>
        <w:tc>
          <w:tcPr>
            <w:tcW w:w="709" w:type="dxa"/>
            <w:tcBorders>
              <w:top w:val="nil"/>
              <w:left w:val="nil"/>
              <w:bottom w:val="nil"/>
              <w:right w:val="nil"/>
            </w:tcBorders>
            <w:shd w:val="clear" w:color="auto" w:fill="auto"/>
            <w:noWrap/>
            <w:vAlign w:val="bottom"/>
            <w:hideMark/>
          </w:tcPr>
          <w:p w14:paraId="4B1A4E36" w14:textId="77777777" w:rsidR="006667F3" w:rsidRPr="006667F3" w:rsidRDefault="006667F3" w:rsidP="006667F3">
            <w:pPr>
              <w:tabs>
                <w:tab w:val="clear" w:pos="284"/>
              </w:tabs>
              <w:spacing w:after="0" w:line="240" w:lineRule="auto"/>
              <w:jc w:val="right"/>
              <w:rPr>
                <w:sz w:val="20"/>
                <w:szCs w:val="20"/>
              </w:rPr>
            </w:pPr>
            <w:r w:rsidRPr="006667F3">
              <w:rPr>
                <w:sz w:val="20"/>
                <w:szCs w:val="20"/>
              </w:rPr>
              <w:t>34</w:t>
            </w:r>
          </w:p>
        </w:tc>
        <w:tc>
          <w:tcPr>
            <w:tcW w:w="960" w:type="dxa"/>
            <w:tcBorders>
              <w:top w:val="nil"/>
              <w:left w:val="nil"/>
              <w:bottom w:val="nil"/>
              <w:right w:val="nil"/>
            </w:tcBorders>
            <w:shd w:val="clear" w:color="auto" w:fill="auto"/>
            <w:noWrap/>
            <w:vAlign w:val="bottom"/>
            <w:hideMark/>
          </w:tcPr>
          <w:p w14:paraId="4B375159" w14:textId="77777777" w:rsidR="006667F3" w:rsidRPr="006667F3" w:rsidRDefault="006667F3" w:rsidP="006667F3">
            <w:pPr>
              <w:tabs>
                <w:tab w:val="clear" w:pos="284"/>
              </w:tabs>
              <w:spacing w:after="0" w:line="240" w:lineRule="auto"/>
              <w:jc w:val="right"/>
              <w:rPr>
                <w:sz w:val="20"/>
                <w:szCs w:val="20"/>
              </w:rPr>
            </w:pPr>
            <w:r w:rsidRPr="006667F3">
              <w:rPr>
                <w:sz w:val="20"/>
                <w:szCs w:val="20"/>
              </w:rPr>
              <w:t>21</w:t>
            </w:r>
          </w:p>
        </w:tc>
        <w:tc>
          <w:tcPr>
            <w:tcW w:w="960" w:type="dxa"/>
            <w:tcBorders>
              <w:top w:val="nil"/>
              <w:left w:val="nil"/>
              <w:bottom w:val="nil"/>
              <w:right w:val="nil"/>
            </w:tcBorders>
            <w:shd w:val="clear" w:color="auto" w:fill="auto"/>
            <w:noWrap/>
            <w:vAlign w:val="bottom"/>
            <w:hideMark/>
          </w:tcPr>
          <w:p w14:paraId="2438941B" w14:textId="77777777" w:rsidR="006667F3" w:rsidRPr="006667F3" w:rsidRDefault="006667F3" w:rsidP="006667F3">
            <w:pPr>
              <w:tabs>
                <w:tab w:val="clear" w:pos="284"/>
              </w:tabs>
              <w:spacing w:after="0" w:line="240" w:lineRule="auto"/>
              <w:jc w:val="right"/>
              <w:rPr>
                <w:sz w:val="20"/>
                <w:szCs w:val="20"/>
              </w:rPr>
            </w:pPr>
            <w:r w:rsidRPr="006667F3">
              <w:rPr>
                <w:sz w:val="20"/>
                <w:szCs w:val="20"/>
              </w:rPr>
              <w:t>26</w:t>
            </w:r>
          </w:p>
        </w:tc>
        <w:tc>
          <w:tcPr>
            <w:tcW w:w="960" w:type="dxa"/>
            <w:tcBorders>
              <w:top w:val="nil"/>
              <w:left w:val="nil"/>
              <w:bottom w:val="nil"/>
              <w:right w:val="nil"/>
            </w:tcBorders>
            <w:shd w:val="clear" w:color="auto" w:fill="auto"/>
            <w:noWrap/>
            <w:vAlign w:val="bottom"/>
            <w:hideMark/>
          </w:tcPr>
          <w:p w14:paraId="2996A24E" w14:textId="77777777" w:rsidR="006667F3" w:rsidRPr="006667F3" w:rsidRDefault="006667F3" w:rsidP="006667F3">
            <w:pPr>
              <w:tabs>
                <w:tab w:val="clear" w:pos="284"/>
              </w:tabs>
              <w:spacing w:after="0" w:line="240" w:lineRule="auto"/>
              <w:jc w:val="right"/>
              <w:rPr>
                <w:sz w:val="20"/>
                <w:szCs w:val="20"/>
              </w:rPr>
            </w:pPr>
            <w:r w:rsidRPr="006667F3">
              <w:rPr>
                <w:sz w:val="20"/>
                <w:szCs w:val="20"/>
              </w:rPr>
              <w:t>31</w:t>
            </w:r>
          </w:p>
        </w:tc>
        <w:tc>
          <w:tcPr>
            <w:tcW w:w="960" w:type="dxa"/>
            <w:tcBorders>
              <w:top w:val="nil"/>
              <w:left w:val="nil"/>
              <w:bottom w:val="nil"/>
              <w:right w:val="nil"/>
            </w:tcBorders>
            <w:shd w:val="clear" w:color="auto" w:fill="auto"/>
            <w:noWrap/>
            <w:vAlign w:val="bottom"/>
            <w:hideMark/>
          </w:tcPr>
          <w:p w14:paraId="12DD63A7" w14:textId="77777777" w:rsidR="006667F3" w:rsidRPr="006667F3" w:rsidRDefault="006667F3" w:rsidP="006667F3">
            <w:pPr>
              <w:tabs>
                <w:tab w:val="clear" w:pos="284"/>
              </w:tabs>
              <w:spacing w:after="0" w:line="240" w:lineRule="auto"/>
              <w:jc w:val="right"/>
              <w:rPr>
                <w:sz w:val="20"/>
                <w:szCs w:val="20"/>
              </w:rPr>
            </w:pPr>
            <w:r w:rsidRPr="006667F3">
              <w:rPr>
                <w:sz w:val="20"/>
                <w:szCs w:val="20"/>
              </w:rPr>
              <w:t>22</w:t>
            </w:r>
          </w:p>
        </w:tc>
        <w:tc>
          <w:tcPr>
            <w:tcW w:w="960" w:type="dxa"/>
            <w:tcBorders>
              <w:top w:val="nil"/>
              <w:left w:val="nil"/>
              <w:bottom w:val="nil"/>
              <w:right w:val="nil"/>
            </w:tcBorders>
            <w:shd w:val="clear" w:color="auto" w:fill="auto"/>
            <w:noWrap/>
            <w:vAlign w:val="bottom"/>
            <w:hideMark/>
          </w:tcPr>
          <w:p w14:paraId="5244C4ED" w14:textId="77777777" w:rsidR="006667F3" w:rsidRPr="006667F3" w:rsidRDefault="006667F3" w:rsidP="006667F3">
            <w:pPr>
              <w:tabs>
                <w:tab w:val="clear" w:pos="284"/>
              </w:tabs>
              <w:spacing w:after="0" w:line="240" w:lineRule="auto"/>
              <w:jc w:val="right"/>
              <w:rPr>
                <w:sz w:val="20"/>
                <w:szCs w:val="20"/>
              </w:rPr>
            </w:pPr>
            <w:r w:rsidRPr="006667F3">
              <w:rPr>
                <w:sz w:val="20"/>
                <w:szCs w:val="20"/>
              </w:rPr>
              <w:t>25</w:t>
            </w:r>
          </w:p>
        </w:tc>
        <w:tc>
          <w:tcPr>
            <w:tcW w:w="960" w:type="dxa"/>
            <w:tcBorders>
              <w:top w:val="nil"/>
              <w:left w:val="nil"/>
              <w:bottom w:val="nil"/>
              <w:right w:val="nil"/>
            </w:tcBorders>
            <w:shd w:val="clear" w:color="auto" w:fill="auto"/>
            <w:noWrap/>
            <w:vAlign w:val="bottom"/>
            <w:hideMark/>
          </w:tcPr>
          <w:p w14:paraId="334387F9" w14:textId="77777777" w:rsidR="006667F3" w:rsidRPr="006667F3" w:rsidRDefault="006667F3" w:rsidP="006667F3">
            <w:pPr>
              <w:tabs>
                <w:tab w:val="clear" w:pos="284"/>
              </w:tabs>
              <w:spacing w:after="0" w:line="240" w:lineRule="auto"/>
              <w:jc w:val="right"/>
              <w:rPr>
                <w:sz w:val="20"/>
                <w:szCs w:val="20"/>
              </w:rPr>
            </w:pPr>
            <w:r w:rsidRPr="006667F3">
              <w:rPr>
                <w:sz w:val="20"/>
                <w:szCs w:val="20"/>
              </w:rPr>
              <w:t>23</w:t>
            </w:r>
          </w:p>
        </w:tc>
        <w:tc>
          <w:tcPr>
            <w:tcW w:w="960" w:type="dxa"/>
            <w:tcBorders>
              <w:top w:val="nil"/>
              <w:left w:val="nil"/>
              <w:bottom w:val="nil"/>
              <w:right w:val="nil"/>
            </w:tcBorders>
            <w:shd w:val="clear" w:color="auto" w:fill="auto"/>
            <w:noWrap/>
            <w:vAlign w:val="bottom"/>
            <w:hideMark/>
          </w:tcPr>
          <w:p w14:paraId="40C4270F" w14:textId="77777777" w:rsidR="006667F3" w:rsidRPr="006667F3" w:rsidRDefault="006667F3" w:rsidP="006667F3">
            <w:pPr>
              <w:tabs>
                <w:tab w:val="clear" w:pos="284"/>
              </w:tabs>
              <w:spacing w:after="0" w:line="240" w:lineRule="auto"/>
              <w:jc w:val="right"/>
              <w:rPr>
                <w:sz w:val="20"/>
                <w:szCs w:val="20"/>
              </w:rPr>
            </w:pPr>
            <w:r w:rsidRPr="006667F3">
              <w:rPr>
                <w:sz w:val="20"/>
                <w:szCs w:val="20"/>
              </w:rPr>
              <w:t>25</w:t>
            </w:r>
          </w:p>
        </w:tc>
      </w:tr>
      <w:tr w:rsidR="006667F3" w:rsidRPr="006667F3" w14:paraId="6C76EE09" w14:textId="77777777" w:rsidTr="00140CF6">
        <w:trPr>
          <w:trHeight w:val="255"/>
        </w:trPr>
        <w:tc>
          <w:tcPr>
            <w:tcW w:w="1701" w:type="dxa"/>
            <w:tcBorders>
              <w:top w:val="nil"/>
              <w:left w:val="nil"/>
              <w:bottom w:val="nil"/>
              <w:right w:val="nil"/>
            </w:tcBorders>
            <w:shd w:val="clear" w:color="auto" w:fill="auto"/>
            <w:noWrap/>
            <w:vAlign w:val="bottom"/>
            <w:hideMark/>
          </w:tcPr>
          <w:p w14:paraId="72ACEA51" w14:textId="77777777" w:rsidR="006667F3" w:rsidRPr="006667F3" w:rsidRDefault="006667F3" w:rsidP="006667F3">
            <w:pPr>
              <w:tabs>
                <w:tab w:val="clear" w:pos="284"/>
              </w:tabs>
              <w:spacing w:after="0" w:line="240" w:lineRule="auto"/>
              <w:rPr>
                <w:sz w:val="20"/>
                <w:szCs w:val="20"/>
              </w:rPr>
            </w:pPr>
            <w:r w:rsidRPr="006667F3">
              <w:rPr>
                <w:sz w:val="20"/>
                <w:szCs w:val="20"/>
              </w:rPr>
              <w:t>United States</w:t>
            </w:r>
          </w:p>
        </w:tc>
        <w:tc>
          <w:tcPr>
            <w:tcW w:w="709" w:type="dxa"/>
            <w:tcBorders>
              <w:top w:val="nil"/>
              <w:left w:val="nil"/>
              <w:bottom w:val="nil"/>
              <w:right w:val="nil"/>
            </w:tcBorders>
            <w:shd w:val="clear" w:color="auto" w:fill="auto"/>
            <w:noWrap/>
            <w:vAlign w:val="bottom"/>
            <w:hideMark/>
          </w:tcPr>
          <w:p w14:paraId="6EA61F8E" w14:textId="77777777" w:rsidR="006667F3" w:rsidRPr="006667F3" w:rsidRDefault="006667F3" w:rsidP="006667F3">
            <w:pPr>
              <w:tabs>
                <w:tab w:val="clear" w:pos="284"/>
              </w:tabs>
              <w:spacing w:after="0" w:line="240" w:lineRule="auto"/>
              <w:jc w:val="right"/>
              <w:rPr>
                <w:sz w:val="20"/>
                <w:szCs w:val="20"/>
              </w:rPr>
            </w:pPr>
            <w:r w:rsidRPr="006667F3">
              <w:rPr>
                <w:sz w:val="20"/>
                <w:szCs w:val="20"/>
              </w:rPr>
              <w:t>12</w:t>
            </w:r>
          </w:p>
        </w:tc>
        <w:tc>
          <w:tcPr>
            <w:tcW w:w="960" w:type="dxa"/>
            <w:tcBorders>
              <w:top w:val="nil"/>
              <w:left w:val="nil"/>
              <w:bottom w:val="nil"/>
              <w:right w:val="nil"/>
            </w:tcBorders>
            <w:shd w:val="clear" w:color="auto" w:fill="auto"/>
            <w:noWrap/>
            <w:vAlign w:val="bottom"/>
            <w:hideMark/>
          </w:tcPr>
          <w:p w14:paraId="76158DC8" w14:textId="77777777" w:rsidR="006667F3" w:rsidRPr="006667F3" w:rsidRDefault="006667F3" w:rsidP="006667F3">
            <w:pPr>
              <w:tabs>
                <w:tab w:val="clear" w:pos="284"/>
              </w:tabs>
              <w:spacing w:after="0" w:line="240" w:lineRule="auto"/>
              <w:jc w:val="right"/>
              <w:rPr>
                <w:sz w:val="20"/>
                <w:szCs w:val="20"/>
              </w:rPr>
            </w:pPr>
            <w:r w:rsidRPr="006667F3">
              <w:rPr>
                <w:sz w:val="20"/>
                <w:szCs w:val="20"/>
              </w:rPr>
              <w:t>12</w:t>
            </w:r>
          </w:p>
        </w:tc>
        <w:tc>
          <w:tcPr>
            <w:tcW w:w="960" w:type="dxa"/>
            <w:tcBorders>
              <w:top w:val="nil"/>
              <w:left w:val="nil"/>
              <w:bottom w:val="nil"/>
              <w:right w:val="nil"/>
            </w:tcBorders>
            <w:shd w:val="clear" w:color="auto" w:fill="auto"/>
            <w:noWrap/>
            <w:vAlign w:val="bottom"/>
            <w:hideMark/>
          </w:tcPr>
          <w:p w14:paraId="33ED33F5" w14:textId="77777777" w:rsidR="006667F3" w:rsidRPr="006667F3" w:rsidRDefault="006667F3" w:rsidP="006667F3">
            <w:pPr>
              <w:tabs>
                <w:tab w:val="clear" w:pos="284"/>
              </w:tabs>
              <w:spacing w:after="0" w:line="240" w:lineRule="auto"/>
              <w:jc w:val="right"/>
              <w:rPr>
                <w:sz w:val="20"/>
                <w:szCs w:val="20"/>
              </w:rPr>
            </w:pPr>
            <w:r w:rsidRPr="006667F3">
              <w:rPr>
                <w:sz w:val="20"/>
                <w:szCs w:val="20"/>
              </w:rPr>
              <w:t>15</w:t>
            </w:r>
          </w:p>
        </w:tc>
        <w:tc>
          <w:tcPr>
            <w:tcW w:w="960" w:type="dxa"/>
            <w:tcBorders>
              <w:top w:val="nil"/>
              <w:left w:val="nil"/>
              <w:bottom w:val="nil"/>
              <w:right w:val="nil"/>
            </w:tcBorders>
            <w:shd w:val="clear" w:color="auto" w:fill="auto"/>
            <w:noWrap/>
            <w:vAlign w:val="bottom"/>
            <w:hideMark/>
          </w:tcPr>
          <w:p w14:paraId="2DEF130D" w14:textId="77777777" w:rsidR="006667F3" w:rsidRPr="006667F3" w:rsidRDefault="006667F3" w:rsidP="006667F3">
            <w:pPr>
              <w:tabs>
                <w:tab w:val="clear" w:pos="284"/>
              </w:tabs>
              <w:spacing w:after="0" w:line="240" w:lineRule="auto"/>
              <w:jc w:val="right"/>
              <w:rPr>
                <w:sz w:val="20"/>
                <w:szCs w:val="20"/>
              </w:rPr>
            </w:pPr>
            <w:r w:rsidRPr="006667F3">
              <w:rPr>
                <w:sz w:val="20"/>
                <w:szCs w:val="20"/>
              </w:rPr>
              <w:t>17</w:t>
            </w:r>
          </w:p>
        </w:tc>
        <w:tc>
          <w:tcPr>
            <w:tcW w:w="960" w:type="dxa"/>
            <w:tcBorders>
              <w:top w:val="nil"/>
              <w:left w:val="nil"/>
              <w:bottom w:val="nil"/>
              <w:right w:val="nil"/>
            </w:tcBorders>
            <w:shd w:val="clear" w:color="auto" w:fill="auto"/>
            <w:noWrap/>
            <w:vAlign w:val="bottom"/>
            <w:hideMark/>
          </w:tcPr>
          <w:p w14:paraId="47BA936B" w14:textId="77777777" w:rsidR="006667F3" w:rsidRPr="006667F3" w:rsidRDefault="006667F3" w:rsidP="006667F3">
            <w:pPr>
              <w:tabs>
                <w:tab w:val="clear" w:pos="284"/>
              </w:tabs>
              <w:spacing w:after="0" w:line="240" w:lineRule="auto"/>
              <w:jc w:val="right"/>
              <w:rPr>
                <w:sz w:val="20"/>
                <w:szCs w:val="20"/>
              </w:rPr>
            </w:pPr>
            <w:r w:rsidRPr="006667F3">
              <w:rPr>
                <w:sz w:val="20"/>
                <w:szCs w:val="20"/>
              </w:rPr>
              <w:t>17</w:t>
            </w:r>
          </w:p>
        </w:tc>
        <w:tc>
          <w:tcPr>
            <w:tcW w:w="960" w:type="dxa"/>
            <w:tcBorders>
              <w:top w:val="nil"/>
              <w:left w:val="nil"/>
              <w:bottom w:val="nil"/>
              <w:right w:val="nil"/>
            </w:tcBorders>
            <w:shd w:val="clear" w:color="auto" w:fill="auto"/>
            <w:noWrap/>
            <w:vAlign w:val="bottom"/>
            <w:hideMark/>
          </w:tcPr>
          <w:p w14:paraId="5BB64477" w14:textId="77777777" w:rsidR="006667F3" w:rsidRPr="006667F3" w:rsidRDefault="006667F3" w:rsidP="006667F3">
            <w:pPr>
              <w:tabs>
                <w:tab w:val="clear" w:pos="284"/>
              </w:tabs>
              <w:spacing w:after="0" w:line="240" w:lineRule="auto"/>
              <w:jc w:val="right"/>
              <w:rPr>
                <w:sz w:val="20"/>
                <w:szCs w:val="20"/>
              </w:rPr>
            </w:pPr>
            <w:r w:rsidRPr="006667F3">
              <w:rPr>
                <w:sz w:val="20"/>
                <w:szCs w:val="20"/>
              </w:rPr>
              <w:t>17</w:t>
            </w:r>
          </w:p>
        </w:tc>
        <w:tc>
          <w:tcPr>
            <w:tcW w:w="960" w:type="dxa"/>
            <w:tcBorders>
              <w:top w:val="nil"/>
              <w:left w:val="nil"/>
              <w:bottom w:val="nil"/>
              <w:right w:val="nil"/>
            </w:tcBorders>
            <w:shd w:val="clear" w:color="auto" w:fill="auto"/>
            <w:noWrap/>
            <w:vAlign w:val="bottom"/>
            <w:hideMark/>
          </w:tcPr>
          <w:p w14:paraId="7A6D65D7" w14:textId="77777777" w:rsidR="006667F3" w:rsidRPr="006667F3" w:rsidRDefault="006667F3" w:rsidP="006667F3">
            <w:pPr>
              <w:tabs>
                <w:tab w:val="clear" w:pos="284"/>
              </w:tabs>
              <w:spacing w:after="0" w:line="240" w:lineRule="auto"/>
              <w:jc w:val="right"/>
              <w:rPr>
                <w:sz w:val="20"/>
                <w:szCs w:val="20"/>
              </w:rPr>
            </w:pPr>
            <w:r w:rsidRPr="006667F3">
              <w:rPr>
                <w:sz w:val="20"/>
                <w:szCs w:val="20"/>
              </w:rPr>
              <w:t>19</w:t>
            </w:r>
          </w:p>
        </w:tc>
        <w:tc>
          <w:tcPr>
            <w:tcW w:w="960" w:type="dxa"/>
            <w:tcBorders>
              <w:top w:val="nil"/>
              <w:left w:val="nil"/>
              <w:bottom w:val="nil"/>
              <w:right w:val="nil"/>
            </w:tcBorders>
            <w:shd w:val="clear" w:color="auto" w:fill="auto"/>
            <w:noWrap/>
            <w:vAlign w:val="bottom"/>
            <w:hideMark/>
          </w:tcPr>
          <w:p w14:paraId="51E8D66D" w14:textId="77777777" w:rsidR="006667F3" w:rsidRPr="006667F3" w:rsidRDefault="006667F3" w:rsidP="006667F3">
            <w:pPr>
              <w:tabs>
                <w:tab w:val="clear" w:pos="284"/>
              </w:tabs>
              <w:spacing w:after="0" w:line="240" w:lineRule="auto"/>
              <w:jc w:val="right"/>
              <w:rPr>
                <w:sz w:val="20"/>
                <w:szCs w:val="20"/>
              </w:rPr>
            </w:pPr>
            <w:r w:rsidRPr="006667F3">
              <w:rPr>
                <w:sz w:val="20"/>
                <w:szCs w:val="20"/>
              </w:rPr>
              <w:t>21</w:t>
            </w:r>
          </w:p>
        </w:tc>
      </w:tr>
      <w:tr w:rsidR="006667F3" w:rsidRPr="006667F3" w14:paraId="00AA8B92" w14:textId="77777777" w:rsidTr="00140CF6">
        <w:trPr>
          <w:trHeight w:val="255"/>
        </w:trPr>
        <w:tc>
          <w:tcPr>
            <w:tcW w:w="1701" w:type="dxa"/>
            <w:tcBorders>
              <w:top w:val="nil"/>
              <w:left w:val="nil"/>
              <w:bottom w:val="nil"/>
              <w:right w:val="nil"/>
            </w:tcBorders>
            <w:shd w:val="clear" w:color="auto" w:fill="auto"/>
            <w:noWrap/>
            <w:vAlign w:val="bottom"/>
            <w:hideMark/>
          </w:tcPr>
          <w:p w14:paraId="2996B254" w14:textId="77777777" w:rsidR="006667F3" w:rsidRPr="006667F3" w:rsidRDefault="006667F3" w:rsidP="006667F3">
            <w:pPr>
              <w:tabs>
                <w:tab w:val="clear" w:pos="284"/>
              </w:tabs>
              <w:spacing w:after="0" w:line="240" w:lineRule="auto"/>
              <w:rPr>
                <w:sz w:val="20"/>
                <w:szCs w:val="20"/>
              </w:rPr>
            </w:pPr>
            <w:r w:rsidRPr="006667F3">
              <w:rPr>
                <w:sz w:val="20"/>
                <w:szCs w:val="20"/>
              </w:rPr>
              <w:t>Australia</w:t>
            </w:r>
          </w:p>
        </w:tc>
        <w:tc>
          <w:tcPr>
            <w:tcW w:w="709" w:type="dxa"/>
            <w:tcBorders>
              <w:top w:val="nil"/>
              <w:left w:val="nil"/>
              <w:bottom w:val="nil"/>
              <w:right w:val="nil"/>
            </w:tcBorders>
            <w:shd w:val="clear" w:color="auto" w:fill="auto"/>
            <w:noWrap/>
            <w:vAlign w:val="bottom"/>
            <w:hideMark/>
          </w:tcPr>
          <w:p w14:paraId="1543F917" w14:textId="77777777" w:rsidR="006667F3" w:rsidRPr="006667F3" w:rsidRDefault="006667F3" w:rsidP="006667F3">
            <w:pPr>
              <w:tabs>
                <w:tab w:val="clear" w:pos="284"/>
              </w:tabs>
              <w:spacing w:after="0" w:line="240" w:lineRule="auto"/>
              <w:jc w:val="right"/>
              <w:rPr>
                <w:sz w:val="20"/>
                <w:szCs w:val="20"/>
              </w:rPr>
            </w:pPr>
            <w:r w:rsidRPr="006667F3">
              <w:rPr>
                <w:sz w:val="20"/>
                <w:szCs w:val="20"/>
              </w:rPr>
              <w:t>33</w:t>
            </w:r>
          </w:p>
        </w:tc>
        <w:tc>
          <w:tcPr>
            <w:tcW w:w="960" w:type="dxa"/>
            <w:tcBorders>
              <w:top w:val="nil"/>
              <w:left w:val="nil"/>
              <w:bottom w:val="nil"/>
              <w:right w:val="nil"/>
            </w:tcBorders>
            <w:shd w:val="clear" w:color="auto" w:fill="auto"/>
            <w:noWrap/>
            <w:vAlign w:val="bottom"/>
            <w:hideMark/>
          </w:tcPr>
          <w:p w14:paraId="6BB7A026" w14:textId="77777777" w:rsidR="006667F3" w:rsidRPr="006667F3" w:rsidRDefault="006667F3" w:rsidP="006667F3">
            <w:pPr>
              <w:tabs>
                <w:tab w:val="clear" w:pos="284"/>
              </w:tabs>
              <w:spacing w:after="0" w:line="240" w:lineRule="auto"/>
              <w:jc w:val="right"/>
              <w:rPr>
                <w:sz w:val="20"/>
                <w:szCs w:val="20"/>
              </w:rPr>
            </w:pPr>
            <w:r w:rsidRPr="006667F3">
              <w:rPr>
                <w:sz w:val="20"/>
                <w:szCs w:val="20"/>
              </w:rPr>
              <w:t>31</w:t>
            </w:r>
          </w:p>
        </w:tc>
        <w:tc>
          <w:tcPr>
            <w:tcW w:w="960" w:type="dxa"/>
            <w:tcBorders>
              <w:top w:val="nil"/>
              <w:left w:val="nil"/>
              <w:bottom w:val="nil"/>
              <w:right w:val="nil"/>
            </w:tcBorders>
            <w:shd w:val="clear" w:color="auto" w:fill="auto"/>
            <w:noWrap/>
            <w:vAlign w:val="bottom"/>
            <w:hideMark/>
          </w:tcPr>
          <w:p w14:paraId="7E87C5DD" w14:textId="77777777" w:rsidR="006667F3" w:rsidRPr="006667F3" w:rsidRDefault="006667F3" w:rsidP="006667F3">
            <w:pPr>
              <w:tabs>
                <w:tab w:val="clear" w:pos="284"/>
              </w:tabs>
              <w:spacing w:after="0" w:line="240" w:lineRule="auto"/>
              <w:jc w:val="right"/>
              <w:rPr>
                <w:sz w:val="20"/>
                <w:szCs w:val="20"/>
              </w:rPr>
            </w:pPr>
            <w:r w:rsidRPr="006667F3">
              <w:rPr>
                <w:sz w:val="20"/>
                <w:szCs w:val="20"/>
              </w:rPr>
              <w:t>25</w:t>
            </w:r>
          </w:p>
        </w:tc>
        <w:tc>
          <w:tcPr>
            <w:tcW w:w="960" w:type="dxa"/>
            <w:tcBorders>
              <w:top w:val="nil"/>
              <w:left w:val="nil"/>
              <w:bottom w:val="nil"/>
              <w:right w:val="nil"/>
            </w:tcBorders>
            <w:shd w:val="clear" w:color="auto" w:fill="auto"/>
            <w:noWrap/>
            <w:vAlign w:val="bottom"/>
            <w:hideMark/>
          </w:tcPr>
          <w:p w14:paraId="39BEBD6D" w14:textId="77777777" w:rsidR="006667F3" w:rsidRPr="006667F3" w:rsidRDefault="006667F3" w:rsidP="006667F3">
            <w:pPr>
              <w:tabs>
                <w:tab w:val="clear" w:pos="284"/>
              </w:tabs>
              <w:spacing w:after="0" w:line="240" w:lineRule="auto"/>
              <w:jc w:val="right"/>
              <w:rPr>
                <w:sz w:val="20"/>
                <w:szCs w:val="20"/>
              </w:rPr>
            </w:pPr>
            <w:r w:rsidRPr="006667F3">
              <w:rPr>
                <w:sz w:val="20"/>
                <w:szCs w:val="20"/>
              </w:rPr>
              <w:t>27</w:t>
            </w:r>
          </w:p>
        </w:tc>
        <w:tc>
          <w:tcPr>
            <w:tcW w:w="960" w:type="dxa"/>
            <w:tcBorders>
              <w:top w:val="nil"/>
              <w:left w:val="nil"/>
              <w:bottom w:val="nil"/>
              <w:right w:val="nil"/>
            </w:tcBorders>
            <w:shd w:val="clear" w:color="auto" w:fill="auto"/>
            <w:noWrap/>
            <w:vAlign w:val="bottom"/>
            <w:hideMark/>
          </w:tcPr>
          <w:p w14:paraId="6575C81A" w14:textId="77777777" w:rsidR="006667F3" w:rsidRPr="006667F3" w:rsidRDefault="006667F3" w:rsidP="006667F3">
            <w:pPr>
              <w:tabs>
                <w:tab w:val="clear" w:pos="284"/>
              </w:tabs>
              <w:spacing w:after="0" w:line="240" w:lineRule="auto"/>
              <w:jc w:val="right"/>
              <w:rPr>
                <w:sz w:val="20"/>
                <w:szCs w:val="20"/>
              </w:rPr>
            </w:pPr>
            <w:r w:rsidRPr="006667F3">
              <w:rPr>
                <w:sz w:val="20"/>
                <w:szCs w:val="20"/>
              </w:rPr>
              <w:t>26</w:t>
            </w:r>
          </w:p>
        </w:tc>
        <w:tc>
          <w:tcPr>
            <w:tcW w:w="960" w:type="dxa"/>
            <w:tcBorders>
              <w:top w:val="nil"/>
              <w:left w:val="nil"/>
              <w:bottom w:val="nil"/>
              <w:right w:val="nil"/>
            </w:tcBorders>
            <w:shd w:val="clear" w:color="auto" w:fill="auto"/>
            <w:noWrap/>
            <w:vAlign w:val="bottom"/>
            <w:hideMark/>
          </w:tcPr>
          <w:p w14:paraId="728A6E8D" w14:textId="77777777" w:rsidR="006667F3" w:rsidRPr="006667F3" w:rsidRDefault="006667F3" w:rsidP="006667F3">
            <w:pPr>
              <w:tabs>
                <w:tab w:val="clear" w:pos="284"/>
              </w:tabs>
              <w:spacing w:after="0" w:line="240" w:lineRule="auto"/>
              <w:jc w:val="right"/>
              <w:rPr>
                <w:sz w:val="20"/>
                <w:szCs w:val="20"/>
              </w:rPr>
            </w:pPr>
            <w:r w:rsidRPr="006667F3">
              <w:rPr>
                <w:sz w:val="20"/>
                <w:szCs w:val="20"/>
              </w:rPr>
              <w:t>18</w:t>
            </w:r>
          </w:p>
        </w:tc>
        <w:tc>
          <w:tcPr>
            <w:tcW w:w="960" w:type="dxa"/>
            <w:tcBorders>
              <w:top w:val="nil"/>
              <w:left w:val="nil"/>
              <w:bottom w:val="nil"/>
              <w:right w:val="nil"/>
            </w:tcBorders>
            <w:shd w:val="clear" w:color="auto" w:fill="auto"/>
            <w:noWrap/>
            <w:vAlign w:val="bottom"/>
            <w:hideMark/>
          </w:tcPr>
          <w:p w14:paraId="43C000A6" w14:textId="77777777" w:rsidR="006667F3" w:rsidRPr="006667F3" w:rsidRDefault="006667F3" w:rsidP="006667F3">
            <w:pPr>
              <w:tabs>
                <w:tab w:val="clear" w:pos="284"/>
              </w:tabs>
              <w:spacing w:after="0" w:line="240" w:lineRule="auto"/>
              <w:jc w:val="right"/>
              <w:rPr>
                <w:sz w:val="20"/>
                <w:szCs w:val="20"/>
              </w:rPr>
            </w:pPr>
            <w:r w:rsidRPr="006667F3">
              <w:rPr>
                <w:sz w:val="20"/>
                <w:szCs w:val="20"/>
              </w:rPr>
              <w:t>13</w:t>
            </w:r>
          </w:p>
        </w:tc>
        <w:tc>
          <w:tcPr>
            <w:tcW w:w="960" w:type="dxa"/>
            <w:tcBorders>
              <w:top w:val="nil"/>
              <w:left w:val="nil"/>
              <w:bottom w:val="nil"/>
              <w:right w:val="nil"/>
            </w:tcBorders>
            <w:shd w:val="clear" w:color="auto" w:fill="auto"/>
            <w:noWrap/>
            <w:vAlign w:val="bottom"/>
            <w:hideMark/>
          </w:tcPr>
          <w:p w14:paraId="37E5A9A9" w14:textId="77777777" w:rsidR="006667F3" w:rsidRPr="006667F3" w:rsidRDefault="006667F3" w:rsidP="006667F3">
            <w:pPr>
              <w:tabs>
                <w:tab w:val="clear" w:pos="284"/>
              </w:tabs>
              <w:spacing w:after="0" w:line="240" w:lineRule="auto"/>
              <w:jc w:val="right"/>
              <w:rPr>
                <w:sz w:val="20"/>
                <w:szCs w:val="20"/>
              </w:rPr>
            </w:pPr>
            <w:r w:rsidRPr="006667F3">
              <w:rPr>
                <w:sz w:val="20"/>
                <w:szCs w:val="20"/>
              </w:rPr>
              <w:t>18</w:t>
            </w:r>
          </w:p>
        </w:tc>
      </w:tr>
      <w:tr w:rsidR="006667F3" w:rsidRPr="006667F3" w14:paraId="219ED7AD" w14:textId="77777777" w:rsidTr="00140CF6">
        <w:trPr>
          <w:trHeight w:val="255"/>
        </w:trPr>
        <w:tc>
          <w:tcPr>
            <w:tcW w:w="1701" w:type="dxa"/>
            <w:tcBorders>
              <w:top w:val="nil"/>
              <w:left w:val="nil"/>
              <w:bottom w:val="nil"/>
              <w:right w:val="nil"/>
            </w:tcBorders>
            <w:shd w:val="clear" w:color="auto" w:fill="auto"/>
            <w:noWrap/>
            <w:vAlign w:val="bottom"/>
            <w:hideMark/>
          </w:tcPr>
          <w:p w14:paraId="29B904FB" w14:textId="77777777" w:rsidR="006667F3" w:rsidRPr="006667F3" w:rsidRDefault="006667F3" w:rsidP="006667F3">
            <w:pPr>
              <w:tabs>
                <w:tab w:val="clear" w:pos="284"/>
              </w:tabs>
              <w:spacing w:after="0" w:line="240" w:lineRule="auto"/>
              <w:rPr>
                <w:sz w:val="20"/>
                <w:szCs w:val="20"/>
              </w:rPr>
            </w:pPr>
            <w:r w:rsidRPr="006667F3">
              <w:rPr>
                <w:sz w:val="20"/>
                <w:szCs w:val="20"/>
              </w:rPr>
              <w:t>New Zealand</w:t>
            </w:r>
          </w:p>
        </w:tc>
        <w:tc>
          <w:tcPr>
            <w:tcW w:w="709" w:type="dxa"/>
            <w:tcBorders>
              <w:top w:val="nil"/>
              <w:left w:val="nil"/>
              <w:bottom w:val="nil"/>
              <w:right w:val="nil"/>
            </w:tcBorders>
            <w:shd w:val="clear" w:color="auto" w:fill="auto"/>
            <w:noWrap/>
            <w:vAlign w:val="bottom"/>
            <w:hideMark/>
          </w:tcPr>
          <w:p w14:paraId="3A00D9B7" w14:textId="77777777" w:rsidR="006667F3" w:rsidRPr="006667F3" w:rsidRDefault="006667F3" w:rsidP="006667F3">
            <w:pPr>
              <w:tabs>
                <w:tab w:val="clear" w:pos="284"/>
              </w:tabs>
              <w:spacing w:after="0" w:line="240" w:lineRule="auto"/>
              <w:jc w:val="right"/>
              <w:rPr>
                <w:sz w:val="20"/>
                <w:szCs w:val="20"/>
              </w:rPr>
            </w:pPr>
            <w:r w:rsidRPr="006667F3">
              <w:rPr>
                <w:sz w:val="20"/>
                <w:szCs w:val="20"/>
              </w:rPr>
              <w:t>16</w:t>
            </w:r>
          </w:p>
        </w:tc>
        <w:tc>
          <w:tcPr>
            <w:tcW w:w="960" w:type="dxa"/>
            <w:tcBorders>
              <w:top w:val="nil"/>
              <w:left w:val="nil"/>
              <w:bottom w:val="nil"/>
              <w:right w:val="nil"/>
            </w:tcBorders>
            <w:shd w:val="clear" w:color="auto" w:fill="auto"/>
            <w:noWrap/>
            <w:vAlign w:val="bottom"/>
            <w:hideMark/>
          </w:tcPr>
          <w:p w14:paraId="4DAD203A" w14:textId="77777777" w:rsidR="006667F3" w:rsidRPr="006667F3" w:rsidRDefault="006667F3" w:rsidP="006667F3">
            <w:pPr>
              <w:tabs>
                <w:tab w:val="clear" w:pos="284"/>
              </w:tabs>
              <w:spacing w:after="0" w:line="240" w:lineRule="auto"/>
              <w:jc w:val="right"/>
              <w:rPr>
                <w:sz w:val="20"/>
                <w:szCs w:val="20"/>
              </w:rPr>
            </w:pPr>
            <w:r w:rsidRPr="006667F3">
              <w:rPr>
                <w:sz w:val="20"/>
                <w:szCs w:val="20"/>
              </w:rPr>
              <w:t>16</w:t>
            </w:r>
          </w:p>
        </w:tc>
        <w:tc>
          <w:tcPr>
            <w:tcW w:w="960" w:type="dxa"/>
            <w:tcBorders>
              <w:top w:val="nil"/>
              <w:left w:val="nil"/>
              <w:bottom w:val="nil"/>
              <w:right w:val="nil"/>
            </w:tcBorders>
            <w:shd w:val="clear" w:color="auto" w:fill="auto"/>
            <w:noWrap/>
            <w:vAlign w:val="bottom"/>
            <w:hideMark/>
          </w:tcPr>
          <w:p w14:paraId="05BA3208" w14:textId="77777777" w:rsidR="006667F3" w:rsidRPr="006667F3" w:rsidRDefault="006667F3" w:rsidP="006667F3">
            <w:pPr>
              <w:tabs>
                <w:tab w:val="clear" w:pos="284"/>
              </w:tabs>
              <w:spacing w:after="0" w:line="240" w:lineRule="auto"/>
              <w:jc w:val="right"/>
              <w:rPr>
                <w:sz w:val="20"/>
                <w:szCs w:val="20"/>
              </w:rPr>
            </w:pPr>
            <w:r w:rsidRPr="006667F3">
              <w:rPr>
                <w:sz w:val="20"/>
                <w:szCs w:val="20"/>
              </w:rPr>
              <w:t>13</w:t>
            </w:r>
          </w:p>
        </w:tc>
        <w:tc>
          <w:tcPr>
            <w:tcW w:w="960" w:type="dxa"/>
            <w:tcBorders>
              <w:top w:val="nil"/>
              <w:left w:val="nil"/>
              <w:bottom w:val="nil"/>
              <w:right w:val="nil"/>
            </w:tcBorders>
            <w:shd w:val="clear" w:color="auto" w:fill="auto"/>
            <w:noWrap/>
            <w:vAlign w:val="bottom"/>
            <w:hideMark/>
          </w:tcPr>
          <w:p w14:paraId="531E1208" w14:textId="77777777" w:rsidR="006667F3" w:rsidRPr="006667F3" w:rsidRDefault="006667F3" w:rsidP="006667F3">
            <w:pPr>
              <w:tabs>
                <w:tab w:val="clear" w:pos="284"/>
              </w:tabs>
              <w:spacing w:after="0" w:line="240" w:lineRule="auto"/>
              <w:jc w:val="right"/>
              <w:rPr>
                <w:sz w:val="20"/>
                <w:szCs w:val="20"/>
              </w:rPr>
            </w:pPr>
            <w:r w:rsidRPr="006667F3">
              <w:rPr>
                <w:sz w:val="20"/>
                <w:szCs w:val="20"/>
              </w:rPr>
              <w:t>17</w:t>
            </w:r>
          </w:p>
        </w:tc>
        <w:tc>
          <w:tcPr>
            <w:tcW w:w="960" w:type="dxa"/>
            <w:tcBorders>
              <w:top w:val="nil"/>
              <w:left w:val="nil"/>
              <w:bottom w:val="nil"/>
              <w:right w:val="nil"/>
            </w:tcBorders>
            <w:shd w:val="clear" w:color="auto" w:fill="auto"/>
            <w:noWrap/>
            <w:vAlign w:val="bottom"/>
            <w:hideMark/>
          </w:tcPr>
          <w:p w14:paraId="43A68E6E" w14:textId="77777777" w:rsidR="006667F3" w:rsidRPr="006667F3" w:rsidRDefault="006667F3" w:rsidP="006667F3">
            <w:pPr>
              <w:tabs>
                <w:tab w:val="clear" w:pos="284"/>
              </w:tabs>
              <w:spacing w:after="0" w:line="240" w:lineRule="auto"/>
              <w:jc w:val="right"/>
              <w:rPr>
                <w:sz w:val="20"/>
                <w:szCs w:val="20"/>
              </w:rPr>
            </w:pPr>
            <w:r w:rsidRPr="006667F3">
              <w:rPr>
                <w:sz w:val="20"/>
                <w:szCs w:val="20"/>
              </w:rPr>
              <w:t>13</w:t>
            </w:r>
          </w:p>
        </w:tc>
        <w:tc>
          <w:tcPr>
            <w:tcW w:w="960" w:type="dxa"/>
            <w:tcBorders>
              <w:top w:val="nil"/>
              <w:left w:val="nil"/>
              <w:bottom w:val="nil"/>
              <w:right w:val="nil"/>
            </w:tcBorders>
            <w:shd w:val="clear" w:color="auto" w:fill="auto"/>
            <w:noWrap/>
            <w:vAlign w:val="bottom"/>
            <w:hideMark/>
          </w:tcPr>
          <w:p w14:paraId="67B2DD69" w14:textId="77777777" w:rsidR="006667F3" w:rsidRPr="006667F3" w:rsidRDefault="006667F3" w:rsidP="006667F3">
            <w:pPr>
              <w:tabs>
                <w:tab w:val="clear" w:pos="284"/>
              </w:tabs>
              <w:spacing w:after="0" w:line="240" w:lineRule="auto"/>
              <w:jc w:val="right"/>
              <w:rPr>
                <w:sz w:val="20"/>
                <w:szCs w:val="20"/>
              </w:rPr>
            </w:pPr>
            <w:r w:rsidRPr="006667F3">
              <w:rPr>
                <w:sz w:val="20"/>
                <w:szCs w:val="20"/>
              </w:rPr>
              <w:t>12</w:t>
            </w:r>
          </w:p>
        </w:tc>
        <w:tc>
          <w:tcPr>
            <w:tcW w:w="960" w:type="dxa"/>
            <w:tcBorders>
              <w:top w:val="nil"/>
              <w:left w:val="nil"/>
              <w:bottom w:val="nil"/>
              <w:right w:val="nil"/>
            </w:tcBorders>
            <w:shd w:val="clear" w:color="auto" w:fill="auto"/>
            <w:noWrap/>
            <w:vAlign w:val="bottom"/>
            <w:hideMark/>
          </w:tcPr>
          <w:p w14:paraId="53E501F9" w14:textId="77777777" w:rsidR="006667F3" w:rsidRPr="006667F3" w:rsidRDefault="006667F3" w:rsidP="006667F3">
            <w:pPr>
              <w:tabs>
                <w:tab w:val="clear" w:pos="284"/>
              </w:tabs>
              <w:spacing w:after="0" w:line="240" w:lineRule="auto"/>
              <w:jc w:val="right"/>
              <w:rPr>
                <w:sz w:val="20"/>
                <w:szCs w:val="20"/>
              </w:rPr>
            </w:pPr>
            <w:r w:rsidRPr="006667F3">
              <w:rPr>
                <w:sz w:val="20"/>
                <w:szCs w:val="20"/>
              </w:rPr>
              <w:t>13</w:t>
            </w:r>
          </w:p>
        </w:tc>
        <w:tc>
          <w:tcPr>
            <w:tcW w:w="960" w:type="dxa"/>
            <w:tcBorders>
              <w:top w:val="nil"/>
              <w:left w:val="nil"/>
              <w:bottom w:val="nil"/>
              <w:right w:val="nil"/>
            </w:tcBorders>
            <w:shd w:val="clear" w:color="auto" w:fill="auto"/>
            <w:noWrap/>
            <w:vAlign w:val="bottom"/>
            <w:hideMark/>
          </w:tcPr>
          <w:p w14:paraId="13899ED4" w14:textId="77777777" w:rsidR="006667F3" w:rsidRPr="006667F3" w:rsidRDefault="006667F3" w:rsidP="006667F3">
            <w:pPr>
              <w:tabs>
                <w:tab w:val="clear" w:pos="284"/>
              </w:tabs>
              <w:spacing w:after="0" w:line="240" w:lineRule="auto"/>
              <w:jc w:val="right"/>
              <w:rPr>
                <w:sz w:val="20"/>
                <w:szCs w:val="20"/>
              </w:rPr>
            </w:pPr>
            <w:r w:rsidRPr="006667F3">
              <w:rPr>
                <w:sz w:val="20"/>
                <w:szCs w:val="20"/>
              </w:rPr>
              <w:t>14</w:t>
            </w:r>
          </w:p>
        </w:tc>
      </w:tr>
      <w:tr w:rsidR="006667F3" w:rsidRPr="006667F3" w14:paraId="2611B135" w14:textId="77777777" w:rsidTr="00140CF6">
        <w:trPr>
          <w:trHeight w:val="255"/>
        </w:trPr>
        <w:tc>
          <w:tcPr>
            <w:tcW w:w="1701" w:type="dxa"/>
            <w:tcBorders>
              <w:top w:val="nil"/>
              <w:left w:val="nil"/>
              <w:bottom w:val="nil"/>
              <w:right w:val="nil"/>
            </w:tcBorders>
            <w:shd w:val="clear" w:color="auto" w:fill="auto"/>
            <w:noWrap/>
            <w:vAlign w:val="bottom"/>
            <w:hideMark/>
          </w:tcPr>
          <w:p w14:paraId="65C4C536" w14:textId="77777777" w:rsidR="006667F3" w:rsidRPr="006667F3" w:rsidRDefault="006667F3" w:rsidP="006667F3">
            <w:pPr>
              <w:tabs>
                <w:tab w:val="clear" w:pos="284"/>
              </w:tabs>
              <w:spacing w:after="0" w:line="240" w:lineRule="auto"/>
              <w:rPr>
                <w:sz w:val="20"/>
                <w:szCs w:val="20"/>
              </w:rPr>
            </w:pPr>
            <w:r w:rsidRPr="006667F3">
              <w:rPr>
                <w:sz w:val="20"/>
                <w:szCs w:val="20"/>
              </w:rPr>
              <w:t>Japan</w:t>
            </w:r>
          </w:p>
        </w:tc>
        <w:tc>
          <w:tcPr>
            <w:tcW w:w="709" w:type="dxa"/>
            <w:tcBorders>
              <w:top w:val="nil"/>
              <w:left w:val="nil"/>
              <w:bottom w:val="nil"/>
              <w:right w:val="nil"/>
            </w:tcBorders>
            <w:shd w:val="clear" w:color="auto" w:fill="auto"/>
            <w:noWrap/>
            <w:vAlign w:val="bottom"/>
            <w:hideMark/>
          </w:tcPr>
          <w:p w14:paraId="48CE9FC1" w14:textId="77777777" w:rsidR="006667F3" w:rsidRPr="006667F3" w:rsidRDefault="006667F3" w:rsidP="006667F3">
            <w:pPr>
              <w:tabs>
                <w:tab w:val="clear" w:pos="284"/>
              </w:tabs>
              <w:spacing w:after="0" w:line="240" w:lineRule="auto"/>
              <w:jc w:val="right"/>
              <w:rPr>
                <w:sz w:val="20"/>
                <w:szCs w:val="20"/>
              </w:rPr>
            </w:pPr>
            <w:r w:rsidRPr="006667F3">
              <w:rPr>
                <w:sz w:val="20"/>
                <w:szCs w:val="20"/>
              </w:rPr>
              <w:t>15</w:t>
            </w:r>
          </w:p>
        </w:tc>
        <w:tc>
          <w:tcPr>
            <w:tcW w:w="960" w:type="dxa"/>
            <w:tcBorders>
              <w:top w:val="nil"/>
              <w:left w:val="nil"/>
              <w:bottom w:val="nil"/>
              <w:right w:val="nil"/>
            </w:tcBorders>
            <w:shd w:val="clear" w:color="auto" w:fill="auto"/>
            <w:noWrap/>
            <w:vAlign w:val="bottom"/>
            <w:hideMark/>
          </w:tcPr>
          <w:p w14:paraId="39D3819C" w14:textId="77777777" w:rsidR="006667F3" w:rsidRPr="006667F3" w:rsidRDefault="006667F3" w:rsidP="006667F3">
            <w:pPr>
              <w:tabs>
                <w:tab w:val="clear" w:pos="284"/>
              </w:tabs>
              <w:spacing w:after="0" w:line="240" w:lineRule="auto"/>
              <w:jc w:val="right"/>
              <w:rPr>
                <w:sz w:val="20"/>
                <w:szCs w:val="20"/>
              </w:rPr>
            </w:pPr>
            <w:r w:rsidRPr="006667F3">
              <w:rPr>
                <w:sz w:val="20"/>
                <w:szCs w:val="20"/>
              </w:rPr>
              <w:t>13</w:t>
            </w:r>
          </w:p>
        </w:tc>
        <w:tc>
          <w:tcPr>
            <w:tcW w:w="960" w:type="dxa"/>
            <w:tcBorders>
              <w:top w:val="nil"/>
              <w:left w:val="nil"/>
              <w:bottom w:val="nil"/>
              <w:right w:val="nil"/>
            </w:tcBorders>
            <w:shd w:val="clear" w:color="auto" w:fill="auto"/>
            <w:noWrap/>
            <w:vAlign w:val="bottom"/>
            <w:hideMark/>
          </w:tcPr>
          <w:p w14:paraId="022016FE" w14:textId="77777777" w:rsidR="006667F3" w:rsidRPr="006667F3" w:rsidRDefault="006667F3" w:rsidP="006667F3">
            <w:pPr>
              <w:tabs>
                <w:tab w:val="clear" w:pos="284"/>
              </w:tabs>
              <w:spacing w:after="0" w:line="240" w:lineRule="auto"/>
              <w:jc w:val="right"/>
              <w:rPr>
                <w:sz w:val="20"/>
                <w:szCs w:val="20"/>
              </w:rPr>
            </w:pPr>
            <w:r w:rsidRPr="006667F3">
              <w:rPr>
                <w:sz w:val="20"/>
                <w:szCs w:val="20"/>
              </w:rPr>
              <w:t>14</w:t>
            </w:r>
          </w:p>
        </w:tc>
        <w:tc>
          <w:tcPr>
            <w:tcW w:w="960" w:type="dxa"/>
            <w:tcBorders>
              <w:top w:val="nil"/>
              <w:left w:val="nil"/>
              <w:bottom w:val="nil"/>
              <w:right w:val="nil"/>
            </w:tcBorders>
            <w:shd w:val="clear" w:color="auto" w:fill="auto"/>
            <w:noWrap/>
            <w:vAlign w:val="bottom"/>
            <w:hideMark/>
          </w:tcPr>
          <w:p w14:paraId="241EAF2B" w14:textId="77777777" w:rsidR="006667F3" w:rsidRPr="006667F3" w:rsidRDefault="006667F3" w:rsidP="006667F3">
            <w:pPr>
              <w:tabs>
                <w:tab w:val="clear" w:pos="284"/>
              </w:tabs>
              <w:spacing w:after="0" w:line="240" w:lineRule="auto"/>
              <w:jc w:val="right"/>
              <w:rPr>
                <w:sz w:val="20"/>
                <w:szCs w:val="20"/>
              </w:rPr>
            </w:pPr>
            <w:r w:rsidRPr="006667F3">
              <w:rPr>
                <w:sz w:val="20"/>
                <w:szCs w:val="20"/>
              </w:rPr>
              <w:t>13</w:t>
            </w:r>
          </w:p>
        </w:tc>
        <w:tc>
          <w:tcPr>
            <w:tcW w:w="960" w:type="dxa"/>
            <w:tcBorders>
              <w:top w:val="nil"/>
              <w:left w:val="nil"/>
              <w:bottom w:val="nil"/>
              <w:right w:val="nil"/>
            </w:tcBorders>
            <w:shd w:val="clear" w:color="auto" w:fill="auto"/>
            <w:noWrap/>
            <w:vAlign w:val="bottom"/>
            <w:hideMark/>
          </w:tcPr>
          <w:p w14:paraId="4832D47F" w14:textId="77777777" w:rsidR="006667F3" w:rsidRPr="006667F3" w:rsidRDefault="006667F3" w:rsidP="006667F3">
            <w:pPr>
              <w:tabs>
                <w:tab w:val="clear" w:pos="284"/>
              </w:tabs>
              <w:spacing w:after="0" w:line="240" w:lineRule="auto"/>
              <w:jc w:val="right"/>
              <w:rPr>
                <w:sz w:val="20"/>
                <w:szCs w:val="20"/>
              </w:rPr>
            </w:pPr>
            <w:r w:rsidRPr="006667F3">
              <w:rPr>
                <w:sz w:val="20"/>
                <w:szCs w:val="20"/>
              </w:rPr>
              <w:t>11</w:t>
            </w:r>
          </w:p>
        </w:tc>
        <w:tc>
          <w:tcPr>
            <w:tcW w:w="960" w:type="dxa"/>
            <w:tcBorders>
              <w:top w:val="nil"/>
              <w:left w:val="nil"/>
              <w:bottom w:val="nil"/>
              <w:right w:val="nil"/>
            </w:tcBorders>
            <w:shd w:val="clear" w:color="auto" w:fill="auto"/>
            <w:noWrap/>
            <w:vAlign w:val="bottom"/>
            <w:hideMark/>
          </w:tcPr>
          <w:p w14:paraId="610EEEBE" w14:textId="77777777" w:rsidR="006667F3" w:rsidRPr="006667F3" w:rsidRDefault="006667F3" w:rsidP="006667F3">
            <w:pPr>
              <w:tabs>
                <w:tab w:val="clear" w:pos="284"/>
              </w:tabs>
              <w:spacing w:after="0" w:line="240" w:lineRule="auto"/>
              <w:jc w:val="right"/>
              <w:rPr>
                <w:sz w:val="20"/>
                <w:szCs w:val="20"/>
              </w:rPr>
            </w:pPr>
            <w:r w:rsidRPr="006667F3">
              <w:rPr>
                <w:sz w:val="20"/>
                <w:szCs w:val="20"/>
              </w:rPr>
              <w:t>12</w:t>
            </w:r>
          </w:p>
        </w:tc>
        <w:tc>
          <w:tcPr>
            <w:tcW w:w="960" w:type="dxa"/>
            <w:tcBorders>
              <w:top w:val="nil"/>
              <w:left w:val="nil"/>
              <w:bottom w:val="nil"/>
              <w:right w:val="nil"/>
            </w:tcBorders>
            <w:shd w:val="clear" w:color="auto" w:fill="auto"/>
            <w:noWrap/>
            <w:vAlign w:val="bottom"/>
            <w:hideMark/>
          </w:tcPr>
          <w:p w14:paraId="14E9CA5D" w14:textId="77777777" w:rsidR="006667F3" w:rsidRPr="006667F3" w:rsidRDefault="006667F3" w:rsidP="006667F3">
            <w:pPr>
              <w:tabs>
                <w:tab w:val="clear" w:pos="284"/>
              </w:tabs>
              <w:spacing w:after="0" w:line="240" w:lineRule="auto"/>
              <w:jc w:val="right"/>
              <w:rPr>
                <w:sz w:val="20"/>
                <w:szCs w:val="20"/>
              </w:rPr>
            </w:pPr>
            <w:r w:rsidRPr="006667F3">
              <w:rPr>
                <w:sz w:val="20"/>
                <w:szCs w:val="20"/>
              </w:rPr>
              <w:t>11</w:t>
            </w:r>
          </w:p>
        </w:tc>
        <w:tc>
          <w:tcPr>
            <w:tcW w:w="960" w:type="dxa"/>
            <w:tcBorders>
              <w:top w:val="nil"/>
              <w:left w:val="nil"/>
              <w:bottom w:val="nil"/>
              <w:right w:val="nil"/>
            </w:tcBorders>
            <w:shd w:val="clear" w:color="auto" w:fill="auto"/>
            <w:noWrap/>
            <w:vAlign w:val="bottom"/>
            <w:hideMark/>
          </w:tcPr>
          <w:p w14:paraId="6805155E" w14:textId="77777777" w:rsidR="006667F3" w:rsidRPr="006667F3" w:rsidRDefault="006667F3" w:rsidP="006667F3">
            <w:pPr>
              <w:tabs>
                <w:tab w:val="clear" w:pos="284"/>
              </w:tabs>
              <w:spacing w:after="0" w:line="240" w:lineRule="auto"/>
              <w:jc w:val="right"/>
              <w:rPr>
                <w:sz w:val="20"/>
                <w:szCs w:val="20"/>
              </w:rPr>
            </w:pPr>
            <w:r w:rsidRPr="006667F3">
              <w:rPr>
                <w:sz w:val="20"/>
                <w:szCs w:val="20"/>
              </w:rPr>
              <w:t>11</w:t>
            </w:r>
          </w:p>
        </w:tc>
      </w:tr>
      <w:tr w:rsidR="006667F3" w:rsidRPr="006667F3" w14:paraId="6FF24A1D" w14:textId="77777777" w:rsidTr="00140CF6">
        <w:trPr>
          <w:trHeight w:val="255"/>
        </w:trPr>
        <w:tc>
          <w:tcPr>
            <w:tcW w:w="1701" w:type="dxa"/>
            <w:tcBorders>
              <w:top w:val="nil"/>
              <w:left w:val="nil"/>
              <w:bottom w:val="nil"/>
              <w:right w:val="nil"/>
            </w:tcBorders>
            <w:shd w:val="clear" w:color="auto" w:fill="auto"/>
            <w:noWrap/>
            <w:vAlign w:val="bottom"/>
            <w:hideMark/>
          </w:tcPr>
          <w:p w14:paraId="0FC813FA" w14:textId="77777777" w:rsidR="006667F3" w:rsidRPr="006667F3" w:rsidRDefault="006667F3" w:rsidP="006667F3">
            <w:pPr>
              <w:tabs>
                <w:tab w:val="clear" w:pos="284"/>
              </w:tabs>
              <w:spacing w:after="0" w:line="240" w:lineRule="auto"/>
              <w:rPr>
                <w:sz w:val="20"/>
                <w:szCs w:val="20"/>
              </w:rPr>
            </w:pPr>
            <w:r w:rsidRPr="006667F3">
              <w:rPr>
                <w:sz w:val="20"/>
                <w:szCs w:val="20"/>
              </w:rPr>
              <w:t>Italy</w:t>
            </w:r>
          </w:p>
        </w:tc>
        <w:tc>
          <w:tcPr>
            <w:tcW w:w="709" w:type="dxa"/>
            <w:tcBorders>
              <w:top w:val="nil"/>
              <w:left w:val="nil"/>
              <w:bottom w:val="nil"/>
              <w:right w:val="nil"/>
            </w:tcBorders>
            <w:shd w:val="clear" w:color="auto" w:fill="auto"/>
            <w:noWrap/>
            <w:vAlign w:val="bottom"/>
            <w:hideMark/>
          </w:tcPr>
          <w:p w14:paraId="09B30982" w14:textId="77777777" w:rsidR="006667F3" w:rsidRPr="006667F3" w:rsidRDefault="006667F3" w:rsidP="006667F3">
            <w:pPr>
              <w:tabs>
                <w:tab w:val="clear" w:pos="284"/>
              </w:tabs>
              <w:spacing w:after="0" w:line="240" w:lineRule="auto"/>
              <w:jc w:val="right"/>
              <w:rPr>
                <w:sz w:val="20"/>
                <w:szCs w:val="20"/>
              </w:rPr>
            </w:pPr>
            <w:r w:rsidRPr="006667F3">
              <w:rPr>
                <w:sz w:val="20"/>
                <w:szCs w:val="20"/>
              </w:rPr>
              <w:t>4</w:t>
            </w:r>
          </w:p>
        </w:tc>
        <w:tc>
          <w:tcPr>
            <w:tcW w:w="960" w:type="dxa"/>
            <w:tcBorders>
              <w:top w:val="nil"/>
              <w:left w:val="nil"/>
              <w:bottom w:val="nil"/>
              <w:right w:val="nil"/>
            </w:tcBorders>
            <w:shd w:val="clear" w:color="auto" w:fill="auto"/>
            <w:noWrap/>
            <w:vAlign w:val="bottom"/>
            <w:hideMark/>
          </w:tcPr>
          <w:p w14:paraId="34806FBB" w14:textId="77777777" w:rsidR="006667F3" w:rsidRPr="006667F3" w:rsidRDefault="006667F3" w:rsidP="006667F3">
            <w:pPr>
              <w:tabs>
                <w:tab w:val="clear" w:pos="284"/>
              </w:tabs>
              <w:spacing w:after="0" w:line="240" w:lineRule="auto"/>
              <w:jc w:val="right"/>
              <w:rPr>
                <w:sz w:val="20"/>
                <w:szCs w:val="20"/>
              </w:rPr>
            </w:pPr>
            <w:r w:rsidRPr="006667F3">
              <w:rPr>
                <w:sz w:val="20"/>
                <w:szCs w:val="20"/>
              </w:rPr>
              <w:t>4</w:t>
            </w:r>
          </w:p>
        </w:tc>
        <w:tc>
          <w:tcPr>
            <w:tcW w:w="960" w:type="dxa"/>
            <w:tcBorders>
              <w:top w:val="nil"/>
              <w:left w:val="nil"/>
              <w:bottom w:val="nil"/>
              <w:right w:val="nil"/>
            </w:tcBorders>
            <w:shd w:val="clear" w:color="auto" w:fill="auto"/>
            <w:noWrap/>
            <w:vAlign w:val="bottom"/>
            <w:hideMark/>
          </w:tcPr>
          <w:p w14:paraId="3E4B38EB"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66D35CFF"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55A3835E" w14:textId="77777777" w:rsidR="006667F3" w:rsidRPr="006667F3" w:rsidRDefault="006667F3" w:rsidP="006667F3">
            <w:pPr>
              <w:tabs>
                <w:tab w:val="clear" w:pos="284"/>
              </w:tabs>
              <w:spacing w:after="0" w:line="240" w:lineRule="auto"/>
              <w:jc w:val="right"/>
              <w:rPr>
                <w:sz w:val="20"/>
                <w:szCs w:val="20"/>
              </w:rPr>
            </w:pPr>
            <w:r w:rsidRPr="006667F3">
              <w:rPr>
                <w:sz w:val="20"/>
                <w:szCs w:val="20"/>
              </w:rPr>
              <w:t>6</w:t>
            </w:r>
          </w:p>
        </w:tc>
        <w:tc>
          <w:tcPr>
            <w:tcW w:w="960" w:type="dxa"/>
            <w:tcBorders>
              <w:top w:val="nil"/>
              <w:left w:val="nil"/>
              <w:bottom w:val="nil"/>
              <w:right w:val="nil"/>
            </w:tcBorders>
            <w:shd w:val="clear" w:color="auto" w:fill="auto"/>
            <w:noWrap/>
            <w:vAlign w:val="bottom"/>
            <w:hideMark/>
          </w:tcPr>
          <w:p w14:paraId="7CF39A17"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286B689B" w14:textId="77777777" w:rsidR="006667F3" w:rsidRPr="006667F3" w:rsidRDefault="006667F3" w:rsidP="006667F3">
            <w:pPr>
              <w:tabs>
                <w:tab w:val="clear" w:pos="284"/>
              </w:tabs>
              <w:spacing w:after="0" w:line="240" w:lineRule="auto"/>
              <w:jc w:val="right"/>
              <w:rPr>
                <w:sz w:val="20"/>
                <w:szCs w:val="20"/>
              </w:rPr>
            </w:pPr>
            <w:r w:rsidRPr="006667F3">
              <w:rPr>
                <w:sz w:val="20"/>
                <w:szCs w:val="20"/>
              </w:rPr>
              <w:t>7</w:t>
            </w:r>
          </w:p>
        </w:tc>
        <w:tc>
          <w:tcPr>
            <w:tcW w:w="960" w:type="dxa"/>
            <w:tcBorders>
              <w:top w:val="nil"/>
              <w:left w:val="nil"/>
              <w:bottom w:val="nil"/>
              <w:right w:val="nil"/>
            </w:tcBorders>
            <w:shd w:val="clear" w:color="auto" w:fill="auto"/>
            <w:noWrap/>
            <w:vAlign w:val="bottom"/>
            <w:hideMark/>
          </w:tcPr>
          <w:p w14:paraId="3B98CCB7" w14:textId="77777777" w:rsidR="006667F3" w:rsidRPr="006667F3" w:rsidRDefault="006667F3" w:rsidP="006667F3">
            <w:pPr>
              <w:tabs>
                <w:tab w:val="clear" w:pos="284"/>
              </w:tabs>
              <w:spacing w:after="0" w:line="240" w:lineRule="auto"/>
              <w:jc w:val="right"/>
              <w:rPr>
                <w:sz w:val="20"/>
                <w:szCs w:val="20"/>
              </w:rPr>
            </w:pPr>
            <w:r w:rsidRPr="006667F3">
              <w:rPr>
                <w:sz w:val="20"/>
                <w:szCs w:val="20"/>
              </w:rPr>
              <w:t>8</w:t>
            </w:r>
          </w:p>
        </w:tc>
      </w:tr>
      <w:tr w:rsidR="006667F3" w:rsidRPr="006667F3" w14:paraId="74589E41" w14:textId="77777777" w:rsidTr="00140CF6">
        <w:trPr>
          <w:trHeight w:val="255"/>
        </w:trPr>
        <w:tc>
          <w:tcPr>
            <w:tcW w:w="1701" w:type="dxa"/>
            <w:tcBorders>
              <w:top w:val="nil"/>
              <w:left w:val="nil"/>
              <w:bottom w:val="nil"/>
              <w:right w:val="nil"/>
            </w:tcBorders>
            <w:shd w:val="clear" w:color="auto" w:fill="auto"/>
            <w:noWrap/>
            <w:vAlign w:val="bottom"/>
            <w:hideMark/>
          </w:tcPr>
          <w:p w14:paraId="3D123F3C" w14:textId="77777777" w:rsidR="006667F3" w:rsidRPr="006667F3" w:rsidRDefault="006667F3" w:rsidP="006667F3">
            <w:pPr>
              <w:tabs>
                <w:tab w:val="clear" w:pos="284"/>
              </w:tabs>
              <w:spacing w:after="0" w:line="240" w:lineRule="auto"/>
              <w:rPr>
                <w:sz w:val="20"/>
                <w:szCs w:val="20"/>
              </w:rPr>
            </w:pPr>
            <w:r w:rsidRPr="006667F3">
              <w:rPr>
                <w:sz w:val="20"/>
                <w:szCs w:val="20"/>
              </w:rPr>
              <w:t>France</w:t>
            </w:r>
          </w:p>
        </w:tc>
        <w:tc>
          <w:tcPr>
            <w:tcW w:w="709" w:type="dxa"/>
            <w:tcBorders>
              <w:top w:val="nil"/>
              <w:left w:val="nil"/>
              <w:bottom w:val="nil"/>
              <w:right w:val="nil"/>
            </w:tcBorders>
            <w:shd w:val="clear" w:color="auto" w:fill="auto"/>
            <w:noWrap/>
            <w:vAlign w:val="bottom"/>
            <w:hideMark/>
          </w:tcPr>
          <w:p w14:paraId="0010AEA7"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1B08E595" w14:textId="77777777" w:rsidR="006667F3" w:rsidRPr="006667F3" w:rsidRDefault="006667F3" w:rsidP="006667F3">
            <w:pPr>
              <w:tabs>
                <w:tab w:val="clear" w:pos="284"/>
              </w:tabs>
              <w:spacing w:after="0" w:line="240" w:lineRule="auto"/>
              <w:jc w:val="right"/>
              <w:rPr>
                <w:sz w:val="20"/>
                <w:szCs w:val="20"/>
              </w:rPr>
            </w:pPr>
            <w:r w:rsidRPr="006667F3">
              <w:rPr>
                <w:sz w:val="20"/>
                <w:szCs w:val="20"/>
              </w:rPr>
              <w:t>4</w:t>
            </w:r>
          </w:p>
        </w:tc>
        <w:tc>
          <w:tcPr>
            <w:tcW w:w="960" w:type="dxa"/>
            <w:tcBorders>
              <w:top w:val="nil"/>
              <w:left w:val="nil"/>
              <w:bottom w:val="nil"/>
              <w:right w:val="nil"/>
            </w:tcBorders>
            <w:shd w:val="clear" w:color="auto" w:fill="auto"/>
            <w:noWrap/>
            <w:vAlign w:val="bottom"/>
            <w:hideMark/>
          </w:tcPr>
          <w:p w14:paraId="3F5C3F5A"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50F725FA" w14:textId="77777777" w:rsidR="006667F3" w:rsidRPr="006667F3" w:rsidRDefault="006667F3" w:rsidP="006667F3">
            <w:pPr>
              <w:tabs>
                <w:tab w:val="clear" w:pos="284"/>
              </w:tabs>
              <w:spacing w:after="0" w:line="240" w:lineRule="auto"/>
              <w:jc w:val="right"/>
              <w:rPr>
                <w:sz w:val="20"/>
                <w:szCs w:val="20"/>
              </w:rPr>
            </w:pPr>
            <w:r w:rsidRPr="006667F3">
              <w:rPr>
                <w:sz w:val="20"/>
                <w:szCs w:val="20"/>
              </w:rPr>
              <w:t>4</w:t>
            </w:r>
          </w:p>
        </w:tc>
        <w:tc>
          <w:tcPr>
            <w:tcW w:w="960" w:type="dxa"/>
            <w:tcBorders>
              <w:top w:val="nil"/>
              <w:left w:val="nil"/>
              <w:bottom w:val="nil"/>
              <w:right w:val="nil"/>
            </w:tcBorders>
            <w:shd w:val="clear" w:color="auto" w:fill="auto"/>
            <w:noWrap/>
            <w:vAlign w:val="bottom"/>
            <w:hideMark/>
          </w:tcPr>
          <w:p w14:paraId="3478D032"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19D7E8FB"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0B119E5C"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3DF4D33D" w14:textId="77777777" w:rsidR="006667F3" w:rsidRPr="006667F3" w:rsidRDefault="006667F3" w:rsidP="006667F3">
            <w:pPr>
              <w:tabs>
                <w:tab w:val="clear" w:pos="284"/>
              </w:tabs>
              <w:spacing w:after="0" w:line="240" w:lineRule="auto"/>
              <w:jc w:val="right"/>
              <w:rPr>
                <w:sz w:val="20"/>
                <w:szCs w:val="20"/>
              </w:rPr>
            </w:pPr>
            <w:r w:rsidRPr="006667F3">
              <w:rPr>
                <w:sz w:val="20"/>
                <w:szCs w:val="20"/>
              </w:rPr>
              <w:t>7</w:t>
            </w:r>
          </w:p>
        </w:tc>
      </w:tr>
      <w:tr w:rsidR="006667F3" w:rsidRPr="006667F3" w14:paraId="5FBA2D97" w14:textId="77777777" w:rsidTr="00140CF6">
        <w:trPr>
          <w:trHeight w:val="255"/>
        </w:trPr>
        <w:tc>
          <w:tcPr>
            <w:tcW w:w="1701" w:type="dxa"/>
            <w:tcBorders>
              <w:top w:val="nil"/>
              <w:left w:val="nil"/>
              <w:bottom w:val="nil"/>
              <w:right w:val="nil"/>
            </w:tcBorders>
            <w:shd w:val="clear" w:color="auto" w:fill="auto"/>
            <w:noWrap/>
            <w:vAlign w:val="bottom"/>
            <w:hideMark/>
          </w:tcPr>
          <w:p w14:paraId="06BC0E51" w14:textId="77777777" w:rsidR="006667F3" w:rsidRPr="006667F3" w:rsidRDefault="006667F3" w:rsidP="006667F3">
            <w:pPr>
              <w:tabs>
                <w:tab w:val="clear" w:pos="284"/>
              </w:tabs>
              <w:spacing w:after="0" w:line="240" w:lineRule="auto"/>
              <w:rPr>
                <w:sz w:val="20"/>
                <w:szCs w:val="20"/>
              </w:rPr>
            </w:pPr>
            <w:r w:rsidRPr="006667F3">
              <w:rPr>
                <w:sz w:val="20"/>
                <w:szCs w:val="20"/>
              </w:rPr>
              <w:t>Austria</w:t>
            </w:r>
          </w:p>
        </w:tc>
        <w:tc>
          <w:tcPr>
            <w:tcW w:w="709" w:type="dxa"/>
            <w:tcBorders>
              <w:top w:val="nil"/>
              <w:left w:val="nil"/>
              <w:bottom w:val="nil"/>
              <w:right w:val="nil"/>
            </w:tcBorders>
            <w:shd w:val="clear" w:color="auto" w:fill="auto"/>
            <w:noWrap/>
            <w:vAlign w:val="bottom"/>
            <w:hideMark/>
          </w:tcPr>
          <w:p w14:paraId="777DDFB6" w14:textId="77777777" w:rsidR="006667F3" w:rsidRPr="006667F3" w:rsidRDefault="006667F3" w:rsidP="006667F3">
            <w:pPr>
              <w:tabs>
                <w:tab w:val="clear" w:pos="284"/>
              </w:tabs>
              <w:spacing w:after="0" w:line="240" w:lineRule="auto"/>
              <w:jc w:val="right"/>
              <w:rPr>
                <w:sz w:val="20"/>
                <w:szCs w:val="20"/>
              </w:rPr>
            </w:pPr>
            <w:r w:rsidRPr="006667F3">
              <w:rPr>
                <w:sz w:val="20"/>
                <w:szCs w:val="20"/>
              </w:rPr>
              <w:t>6</w:t>
            </w:r>
          </w:p>
        </w:tc>
        <w:tc>
          <w:tcPr>
            <w:tcW w:w="960" w:type="dxa"/>
            <w:tcBorders>
              <w:top w:val="nil"/>
              <w:left w:val="nil"/>
              <w:bottom w:val="nil"/>
              <w:right w:val="nil"/>
            </w:tcBorders>
            <w:shd w:val="clear" w:color="auto" w:fill="auto"/>
            <w:noWrap/>
            <w:vAlign w:val="bottom"/>
            <w:hideMark/>
          </w:tcPr>
          <w:p w14:paraId="32FC425A"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128A4CA4" w14:textId="77777777" w:rsidR="006667F3" w:rsidRPr="006667F3" w:rsidRDefault="006667F3" w:rsidP="006667F3">
            <w:pPr>
              <w:tabs>
                <w:tab w:val="clear" w:pos="284"/>
              </w:tabs>
              <w:spacing w:after="0" w:line="240" w:lineRule="auto"/>
              <w:jc w:val="right"/>
              <w:rPr>
                <w:sz w:val="20"/>
                <w:szCs w:val="20"/>
              </w:rPr>
            </w:pPr>
            <w:r w:rsidRPr="006667F3">
              <w:rPr>
                <w:sz w:val="20"/>
                <w:szCs w:val="20"/>
              </w:rPr>
              <w:t>9</w:t>
            </w:r>
          </w:p>
        </w:tc>
        <w:tc>
          <w:tcPr>
            <w:tcW w:w="960" w:type="dxa"/>
            <w:tcBorders>
              <w:top w:val="nil"/>
              <w:left w:val="nil"/>
              <w:bottom w:val="nil"/>
              <w:right w:val="nil"/>
            </w:tcBorders>
            <w:shd w:val="clear" w:color="auto" w:fill="auto"/>
            <w:noWrap/>
            <w:vAlign w:val="bottom"/>
            <w:hideMark/>
          </w:tcPr>
          <w:p w14:paraId="5EAAF02A"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5ECC6B20"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63368BBB" w14:textId="77777777" w:rsidR="006667F3" w:rsidRPr="006667F3" w:rsidRDefault="006667F3" w:rsidP="006667F3">
            <w:pPr>
              <w:tabs>
                <w:tab w:val="clear" w:pos="284"/>
              </w:tabs>
              <w:spacing w:after="0" w:line="240" w:lineRule="auto"/>
              <w:jc w:val="right"/>
              <w:rPr>
                <w:sz w:val="20"/>
                <w:szCs w:val="20"/>
              </w:rPr>
            </w:pPr>
            <w:r w:rsidRPr="006667F3">
              <w:rPr>
                <w:sz w:val="20"/>
                <w:szCs w:val="20"/>
              </w:rPr>
              <w:t>8</w:t>
            </w:r>
          </w:p>
        </w:tc>
        <w:tc>
          <w:tcPr>
            <w:tcW w:w="960" w:type="dxa"/>
            <w:tcBorders>
              <w:top w:val="nil"/>
              <w:left w:val="nil"/>
              <w:bottom w:val="nil"/>
              <w:right w:val="nil"/>
            </w:tcBorders>
            <w:shd w:val="clear" w:color="auto" w:fill="auto"/>
            <w:noWrap/>
            <w:vAlign w:val="bottom"/>
            <w:hideMark/>
          </w:tcPr>
          <w:p w14:paraId="3E9B6E5C" w14:textId="77777777" w:rsidR="006667F3" w:rsidRPr="006667F3" w:rsidRDefault="006667F3" w:rsidP="006667F3">
            <w:pPr>
              <w:tabs>
                <w:tab w:val="clear" w:pos="284"/>
              </w:tabs>
              <w:spacing w:after="0" w:line="240" w:lineRule="auto"/>
              <w:jc w:val="right"/>
              <w:rPr>
                <w:sz w:val="20"/>
                <w:szCs w:val="20"/>
              </w:rPr>
            </w:pPr>
            <w:r w:rsidRPr="006667F3">
              <w:rPr>
                <w:sz w:val="20"/>
                <w:szCs w:val="20"/>
              </w:rPr>
              <w:t>7</w:t>
            </w:r>
          </w:p>
        </w:tc>
        <w:tc>
          <w:tcPr>
            <w:tcW w:w="960" w:type="dxa"/>
            <w:tcBorders>
              <w:top w:val="nil"/>
              <w:left w:val="nil"/>
              <w:bottom w:val="nil"/>
              <w:right w:val="nil"/>
            </w:tcBorders>
            <w:shd w:val="clear" w:color="auto" w:fill="auto"/>
            <w:noWrap/>
            <w:vAlign w:val="bottom"/>
            <w:hideMark/>
          </w:tcPr>
          <w:p w14:paraId="6BE588B3" w14:textId="77777777" w:rsidR="006667F3" w:rsidRPr="006667F3" w:rsidRDefault="006667F3" w:rsidP="006667F3">
            <w:pPr>
              <w:tabs>
                <w:tab w:val="clear" w:pos="284"/>
              </w:tabs>
              <w:spacing w:after="0" w:line="240" w:lineRule="auto"/>
              <w:jc w:val="right"/>
              <w:rPr>
                <w:sz w:val="20"/>
                <w:szCs w:val="20"/>
              </w:rPr>
            </w:pPr>
            <w:r w:rsidRPr="006667F3">
              <w:rPr>
                <w:sz w:val="20"/>
                <w:szCs w:val="20"/>
              </w:rPr>
              <w:t>7</w:t>
            </w:r>
          </w:p>
        </w:tc>
      </w:tr>
      <w:tr w:rsidR="006667F3" w:rsidRPr="006667F3" w14:paraId="7EB5DC8C" w14:textId="77777777" w:rsidTr="00140CF6">
        <w:trPr>
          <w:trHeight w:val="255"/>
        </w:trPr>
        <w:tc>
          <w:tcPr>
            <w:tcW w:w="1701" w:type="dxa"/>
            <w:tcBorders>
              <w:top w:val="nil"/>
              <w:left w:val="nil"/>
              <w:bottom w:val="nil"/>
              <w:right w:val="nil"/>
            </w:tcBorders>
            <w:shd w:val="clear" w:color="auto" w:fill="auto"/>
            <w:noWrap/>
            <w:vAlign w:val="bottom"/>
            <w:hideMark/>
          </w:tcPr>
          <w:p w14:paraId="0473EFB9" w14:textId="77777777" w:rsidR="006667F3" w:rsidRPr="006667F3" w:rsidRDefault="006667F3" w:rsidP="006667F3">
            <w:pPr>
              <w:tabs>
                <w:tab w:val="clear" w:pos="284"/>
              </w:tabs>
              <w:spacing w:after="0" w:line="240" w:lineRule="auto"/>
              <w:rPr>
                <w:sz w:val="20"/>
                <w:szCs w:val="20"/>
              </w:rPr>
            </w:pPr>
            <w:r w:rsidRPr="006667F3">
              <w:rPr>
                <w:sz w:val="20"/>
                <w:szCs w:val="20"/>
              </w:rPr>
              <w:t>Korea</w:t>
            </w:r>
          </w:p>
        </w:tc>
        <w:tc>
          <w:tcPr>
            <w:tcW w:w="709" w:type="dxa"/>
            <w:tcBorders>
              <w:top w:val="nil"/>
              <w:left w:val="nil"/>
              <w:bottom w:val="nil"/>
              <w:right w:val="nil"/>
            </w:tcBorders>
            <w:shd w:val="clear" w:color="auto" w:fill="auto"/>
            <w:noWrap/>
            <w:vAlign w:val="bottom"/>
            <w:hideMark/>
          </w:tcPr>
          <w:p w14:paraId="6EC034F7" w14:textId="77777777" w:rsidR="006667F3" w:rsidRPr="006667F3" w:rsidRDefault="006667F3" w:rsidP="006667F3">
            <w:pPr>
              <w:tabs>
                <w:tab w:val="clear" w:pos="284"/>
              </w:tabs>
              <w:spacing w:after="0" w:line="240" w:lineRule="auto"/>
              <w:jc w:val="right"/>
              <w:rPr>
                <w:sz w:val="20"/>
                <w:szCs w:val="20"/>
              </w:rPr>
            </w:pPr>
            <w:r w:rsidRPr="006667F3">
              <w:rPr>
                <w:sz w:val="20"/>
                <w:szCs w:val="20"/>
              </w:rPr>
              <w:t>3</w:t>
            </w:r>
          </w:p>
        </w:tc>
        <w:tc>
          <w:tcPr>
            <w:tcW w:w="960" w:type="dxa"/>
            <w:tcBorders>
              <w:top w:val="nil"/>
              <w:left w:val="nil"/>
              <w:bottom w:val="nil"/>
              <w:right w:val="nil"/>
            </w:tcBorders>
            <w:shd w:val="clear" w:color="auto" w:fill="auto"/>
            <w:noWrap/>
            <w:vAlign w:val="bottom"/>
            <w:hideMark/>
          </w:tcPr>
          <w:p w14:paraId="5EBCE0BD" w14:textId="77777777" w:rsidR="006667F3" w:rsidRPr="006667F3" w:rsidRDefault="006667F3" w:rsidP="006667F3">
            <w:pPr>
              <w:tabs>
                <w:tab w:val="clear" w:pos="284"/>
              </w:tabs>
              <w:spacing w:after="0" w:line="240" w:lineRule="auto"/>
              <w:jc w:val="right"/>
              <w:rPr>
                <w:sz w:val="20"/>
                <w:szCs w:val="20"/>
              </w:rPr>
            </w:pPr>
            <w:r w:rsidRPr="006667F3">
              <w:rPr>
                <w:sz w:val="20"/>
                <w:szCs w:val="20"/>
              </w:rPr>
              <w:t>4</w:t>
            </w:r>
          </w:p>
        </w:tc>
        <w:tc>
          <w:tcPr>
            <w:tcW w:w="960" w:type="dxa"/>
            <w:tcBorders>
              <w:top w:val="nil"/>
              <w:left w:val="nil"/>
              <w:bottom w:val="nil"/>
              <w:right w:val="nil"/>
            </w:tcBorders>
            <w:shd w:val="clear" w:color="auto" w:fill="auto"/>
            <w:noWrap/>
            <w:vAlign w:val="bottom"/>
            <w:hideMark/>
          </w:tcPr>
          <w:p w14:paraId="0F0699FD"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0B4E44E6"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54B5D1B1" w14:textId="77777777" w:rsidR="006667F3" w:rsidRPr="006667F3" w:rsidRDefault="006667F3" w:rsidP="006667F3">
            <w:pPr>
              <w:tabs>
                <w:tab w:val="clear" w:pos="284"/>
              </w:tabs>
              <w:spacing w:after="0" w:line="240" w:lineRule="auto"/>
              <w:jc w:val="right"/>
              <w:rPr>
                <w:sz w:val="20"/>
                <w:szCs w:val="20"/>
              </w:rPr>
            </w:pPr>
            <w:r w:rsidRPr="006667F3">
              <w:rPr>
                <w:sz w:val="20"/>
                <w:szCs w:val="20"/>
              </w:rPr>
              <w:t>5</w:t>
            </w:r>
          </w:p>
        </w:tc>
        <w:tc>
          <w:tcPr>
            <w:tcW w:w="960" w:type="dxa"/>
            <w:tcBorders>
              <w:top w:val="nil"/>
              <w:left w:val="nil"/>
              <w:bottom w:val="nil"/>
              <w:right w:val="nil"/>
            </w:tcBorders>
            <w:shd w:val="clear" w:color="auto" w:fill="auto"/>
            <w:noWrap/>
            <w:vAlign w:val="bottom"/>
            <w:hideMark/>
          </w:tcPr>
          <w:p w14:paraId="5E3A5E99" w14:textId="77777777" w:rsidR="006667F3" w:rsidRPr="006667F3" w:rsidRDefault="006667F3" w:rsidP="006667F3">
            <w:pPr>
              <w:tabs>
                <w:tab w:val="clear" w:pos="284"/>
              </w:tabs>
              <w:spacing w:after="0" w:line="240" w:lineRule="auto"/>
              <w:jc w:val="right"/>
              <w:rPr>
                <w:sz w:val="20"/>
                <w:szCs w:val="20"/>
              </w:rPr>
            </w:pPr>
            <w:r w:rsidRPr="006667F3">
              <w:rPr>
                <w:sz w:val="20"/>
                <w:szCs w:val="20"/>
              </w:rPr>
              <w:t>6</w:t>
            </w:r>
          </w:p>
        </w:tc>
        <w:tc>
          <w:tcPr>
            <w:tcW w:w="960" w:type="dxa"/>
            <w:tcBorders>
              <w:top w:val="nil"/>
              <w:left w:val="nil"/>
              <w:bottom w:val="nil"/>
              <w:right w:val="nil"/>
            </w:tcBorders>
            <w:shd w:val="clear" w:color="auto" w:fill="auto"/>
            <w:noWrap/>
            <w:vAlign w:val="bottom"/>
            <w:hideMark/>
          </w:tcPr>
          <w:p w14:paraId="004BF19F" w14:textId="77777777" w:rsidR="006667F3" w:rsidRPr="006667F3" w:rsidRDefault="006667F3" w:rsidP="006667F3">
            <w:pPr>
              <w:tabs>
                <w:tab w:val="clear" w:pos="284"/>
              </w:tabs>
              <w:spacing w:after="0" w:line="240" w:lineRule="auto"/>
              <w:jc w:val="right"/>
              <w:rPr>
                <w:sz w:val="20"/>
                <w:szCs w:val="20"/>
              </w:rPr>
            </w:pPr>
            <w:r w:rsidRPr="006667F3">
              <w:rPr>
                <w:sz w:val="20"/>
                <w:szCs w:val="20"/>
              </w:rPr>
              <w:t>6</w:t>
            </w:r>
          </w:p>
        </w:tc>
        <w:tc>
          <w:tcPr>
            <w:tcW w:w="960" w:type="dxa"/>
            <w:tcBorders>
              <w:top w:val="nil"/>
              <w:left w:val="nil"/>
              <w:bottom w:val="nil"/>
              <w:right w:val="nil"/>
            </w:tcBorders>
            <w:shd w:val="clear" w:color="auto" w:fill="auto"/>
            <w:noWrap/>
            <w:vAlign w:val="bottom"/>
            <w:hideMark/>
          </w:tcPr>
          <w:p w14:paraId="7C8112A9" w14:textId="77777777" w:rsidR="006667F3" w:rsidRPr="006667F3" w:rsidRDefault="006667F3" w:rsidP="006667F3">
            <w:pPr>
              <w:tabs>
                <w:tab w:val="clear" w:pos="284"/>
              </w:tabs>
              <w:spacing w:after="0" w:line="240" w:lineRule="auto"/>
              <w:jc w:val="right"/>
              <w:rPr>
                <w:sz w:val="20"/>
                <w:szCs w:val="20"/>
              </w:rPr>
            </w:pPr>
            <w:r w:rsidRPr="006667F3">
              <w:rPr>
                <w:sz w:val="20"/>
                <w:szCs w:val="20"/>
              </w:rPr>
              <w:t>7</w:t>
            </w:r>
          </w:p>
        </w:tc>
      </w:tr>
      <w:tr w:rsidR="006667F3" w:rsidRPr="006667F3" w14:paraId="64AE990E" w14:textId="77777777" w:rsidTr="00140CF6">
        <w:trPr>
          <w:trHeight w:val="255"/>
        </w:trPr>
        <w:tc>
          <w:tcPr>
            <w:tcW w:w="1701" w:type="dxa"/>
            <w:tcBorders>
              <w:top w:val="nil"/>
              <w:left w:val="nil"/>
              <w:bottom w:val="nil"/>
              <w:right w:val="nil"/>
            </w:tcBorders>
            <w:shd w:val="clear" w:color="auto" w:fill="auto"/>
            <w:noWrap/>
            <w:vAlign w:val="bottom"/>
            <w:hideMark/>
          </w:tcPr>
          <w:p w14:paraId="21DAD887" w14:textId="77777777" w:rsidR="006667F3" w:rsidRPr="006667F3" w:rsidRDefault="006667F3" w:rsidP="006667F3">
            <w:pPr>
              <w:tabs>
                <w:tab w:val="clear" w:pos="284"/>
              </w:tabs>
              <w:spacing w:after="0" w:line="240" w:lineRule="auto"/>
              <w:rPr>
                <w:sz w:val="20"/>
                <w:szCs w:val="20"/>
              </w:rPr>
            </w:pPr>
            <w:r w:rsidRPr="006667F3">
              <w:rPr>
                <w:sz w:val="20"/>
                <w:szCs w:val="20"/>
              </w:rPr>
              <w:t>Slovak Republic</w:t>
            </w:r>
          </w:p>
        </w:tc>
        <w:tc>
          <w:tcPr>
            <w:tcW w:w="709" w:type="dxa"/>
            <w:tcBorders>
              <w:top w:val="nil"/>
              <w:left w:val="nil"/>
              <w:bottom w:val="nil"/>
              <w:right w:val="nil"/>
            </w:tcBorders>
            <w:shd w:val="clear" w:color="auto" w:fill="auto"/>
            <w:noWrap/>
            <w:vAlign w:val="bottom"/>
            <w:hideMark/>
          </w:tcPr>
          <w:p w14:paraId="63B17BA6" w14:textId="77777777" w:rsidR="006667F3" w:rsidRPr="006667F3" w:rsidRDefault="006667F3" w:rsidP="006667F3">
            <w:pPr>
              <w:tabs>
                <w:tab w:val="clear" w:pos="284"/>
              </w:tabs>
              <w:spacing w:after="0" w:line="240" w:lineRule="auto"/>
              <w:jc w:val="right"/>
              <w:rPr>
                <w:sz w:val="20"/>
                <w:szCs w:val="20"/>
              </w:rPr>
            </w:pPr>
            <w:r w:rsidRPr="006667F3">
              <w:rPr>
                <w:sz w:val="20"/>
                <w:szCs w:val="20"/>
              </w:rPr>
              <w:t>..</w:t>
            </w:r>
          </w:p>
        </w:tc>
        <w:tc>
          <w:tcPr>
            <w:tcW w:w="960" w:type="dxa"/>
            <w:tcBorders>
              <w:top w:val="nil"/>
              <w:left w:val="nil"/>
              <w:bottom w:val="nil"/>
              <w:right w:val="nil"/>
            </w:tcBorders>
            <w:shd w:val="clear" w:color="auto" w:fill="auto"/>
            <w:noWrap/>
            <w:vAlign w:val="bottom"/>
            <w:hideMark/>
          </w:tcPr>
          <w:p w14:paraId="2AE16985" w14:textId="77777777" w:rsidR="006667F3" w:rsidRPr="006667F3" w:rsidRDefault="006667F3" w:rsidP="006667F3">
            <w:pPr>
              <w:tabs>
                <w:tab w:val="clear" w:pos="284"/>
              </w:tabs>
              <w:spacing w:after="0" w:line="240" w:lineRule="auto"/>
              <w:jc w:val="right"/>
              <w:rPr>
                <w:sz w:val="20"/>
                <w:szCs w:val="20"/>
              </w:rPr>
            </w:pPr>
            <w:r w:rsidRPr="006667F3">
              <w:rPr>
                <w:sz w:val="20"/>
                <w:szCs w:val="20"/>
              </w:rPr>
              <w:t>..</w:t>
            </w:r>
          </w:p>
        </w:tc>
        <w:tc>
          <w:tcPr>
            <w:tcW w:w="960" w:type="dxa"/>
            <w:tcBorders>
              <w:top w:val="nil"/>
              <w:left w:val="nil"/>
              <w:bottom w:val="nil"/>
              <w:right w:val="nil"/>
            </w:tcBorders>
            <w:shd w:val="clear" w:color="auto" w:fill="auto"/>
            <w:noWrap/>
            <w:vAlign w:val="bottom"/>
            <w:hideMark/>
          </w:tcPr>
          <w:p w14:paraId="2499E178"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3E6B7D61"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3CB5C256"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23ED3DC0"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5F66C6CA"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c>
          <w:tcPr>
            <w:tcW w:w="960" w:type="dxa"/>
            <w:tcBorders>
              <w:top w:val="nil"/>
              <w:left w:val="nil"/>
              <w:bottom w:val="nil"/>
              <w:right w:val="nil"/>
            </w:tcBorders>
            <w:shd w:val="clear" w:color="auto" w:fill="auto"/>
            <w:noWrap/>
            <w:vAlign w:val="bottom"/>
            <w:hideMark/>
          </w:tcPr>
          <w:p w14:paraId="04E51DA3" w14:textId="77777777" w:rsidR="006667F3" w:rsidRPr="006667F3" w:rsidRDefault="006667F3" w:rsidP="006667F3">
            <w:pPr>
              <w:tabs>
                <w:tab w:val="clear" w:pos="284"/>
              </w:tabs>
              <w:spacing w:after="0" w:line="240" w:lineRule="auto"/>
              <w:jc w:val="right"/>
              <w:rPr>
                <w:sz w:val="20"/>
                <w:szCs w:val="20"/>
              </w:rPr>
            </w:pPr>
            <w:r w:rsidRPr="006667F3">
              <w:rPr>
                <w:sz w:val="20"/>
                <w:szCs w:val="20"/>
              </w:rPr>
              <w:t>4</w:t>
            </w:r>
          </w:p>
        </w:tc>
      </w:tr>
      <w:tr w:rsidR="006667F3" w:rsidRPr="006667F3" w14:paraId="3626DF01" w14:textId="77777777" w:rsidTr="00140CF6">
        <w:trPr>
          <w:trHeight w:val="255"/>
        </w:trPr>
        <w:tc>
          <w:tcPr>
            <w:tcW w:w="1701" w:type="dxa"/>
            <w:tcBorders>
              <w:top w:val="nil"/>
              <w:left w:val="nil"/>
              <w:bottom w:val="nil"/>
              <w:right w:val="nil"/>
            </w:tcBorders>
            <w:shd w:val="clear" w:color="auto" w:fill="auto"/>
            <w:noWrap/>
            <w:vAlign w:val="bottom"/>
            <w:hideMark/>
          </w:tcPr>
          <w:p w14:paraId="193299B0" w14:textId="77777777" w:rsidR="006667F3" w:rsidRPr="006667F3" w:rsidRDefault="006667F3" w:rsidP="006667F3">
            <w:pPr>
              <w:tabs>
                <w:tab w:val="clear" w:pos="284"/>
              </w:tabs>
              <w:spacing w:after="0" w:line="240" w:lineRule="auto"/>
              <w:rPr>
                <w:sz w:val="20"/>
                <w:szCs w:val="20"/>
              </w:rPr>
            </w:pPr>
            <w:r w:rsidRPr="006667F3">
              <w:rPr>
                <w:sz w:val="20"/>
                <w:szCs w:val="20"/>
              </w:rPr>
              <w:t>Spain</w:t>
            </w:r>
          </w:p>
        </w:tc>
        <w:tc>
          <w:tcPr>
            <w:tcW w:w="709" w:type="dxa"/>
            <w:tcBorders>
              <w:top w:val="nil"/>
              <w:left w:val="nil"/>
              <w:bottom w:val="nil"/>
              <w:right w:val="nil"/>
            </w:tcBorders>
            <w:shd w:val="clear" w:color="auto" w:fill="auto"/>
            <w:noWrap/>
            <w:vAlign w:val="bottom"/>
            <w:hideMark/>
          </w:tcPr>
          <w:p w14:paraId="453EA21F" w14:textId="77777777" w:rsidR="006667F3" w:rsidRPr="006667F3" w:rsidRDefault="006667F3" w:rsidP="006667F3">
            <w:pPr>
              <w:tabs>
                <w:tab w:val="clear" w:pos="284"/>
              </w:tabs>
              <w:spacing w:after="0" w:line="240" w:lineRule="auto"/>
              <w:jc w:val="right"/>
              <w:rPr>
                <w:sz w:val="20"/>
                <w:szCs w:val="20"/>
              </w:rPr>
            </w:pPr>
            <w:r w:rsidRPr="006667F3">
              <w:rPr>
                <w:sz w:val="20"/>
                <w:szCs w:val="20"/>
              </w:rPr>
              <w:t>11</w:t>
            </w:r>
          </w:p>
        </w:tc>
        <w:tc>
          <w:tcPr>
            <w:tcW w:w="960" w:type="dxa"/>
            <w:tcBorders>
              <w:top w:val="nil"/>
              <w:left w:val="nil"/>
              <w:bottom w:val="nil"/>
              <w:right w:val="nil"/>
            </w:tcBorders>
            <w:shd w:val="clear" w:color="auto" w:fill="auto"/>
            <w:noWrap/>
            <w:vAlign w:val="bottom"/>
            <w:hideMark/>
          </w:tcPr>
          <w:p w14:paraId="0EDE470C" w14:textId="77777777" w:rsidR="006667F3" w:rsidRPr="006667F3" w:rsidRDefault="006667F3" w:rsidP="006667F3">
            <w:pPr>
              <w:tabs>
                <w:tab w:val="clear" w:pos="284"/>
              </w:tabs>
              <w:spacing w:after="0" w:line="240" w:lineRule="auto"/>
              <w:jc w:val="right"/>
              <w:rPr>
                <w:sz w:val="20"/>
                <w:szCs w:val="20"/>
              </w:rPr>
            </w:pPr>
            <w:r w:rsidRPr="006667F3">
              <w:rPr>
                <w:sz w:val="20"/>
                <w:szCs w:val="20"/>
              </w:rPr>
              <w:t>3</w:t>
            </w:r>
          </w:p>
        </w:tc>
        <w:tc>
          <w:tcPr>
            <w:tcW w:w="960" w:type="dxa"/>
            <w:tcBorders>
              <w:top w:val="nil"/>
              <w:left w:val="nil"/>
              <w:bottom w:val="nil"/>
              <w:right w:val="nil"/>
            </w:tcBorders>
            <w:shd w:val="clear" w:color="auto" w:fill="auto"/>
            <w:noWrap/>
            <w:vAlign w:val="bottom"/>
            <w:hideMark/>
          </w:tcPr>
          <w:p w14:paraId="00584B4A" w14:textId="77777777" w:rsidR="006667F3" w:rsidRPr="006667F3" w:rsidRDefault="006667F3" w:rsidP="006667F3">
            <w:pPr>
              <w:tabs>
                <w:tab w:val="clear" w:pos="284"/>
              </w:tabs>
              <w:spacing w:after="0" w:line="240" w:lineRule="auto"/>
              <w:jc w:val="right"/>
              <w:rPr>
                <w:sz w:val="20"/>
                <w:szCs w:val="20"/>
              </w:rPr>
            </w:pPr>
            <w:r w:rsidRPr="006667F3">
              <w:rPr>
                <w:sz w:val="20"/>
                <w:szCs w:val="20"/>
              </w:rPr>
              <w:t>4</w:t>
            </w:r>
          </w:p>
        </w:tc>
        <w:tc>
          <w:tcPr>
            <w:tcW w:w="960" w:type="dxa"/>
            <w:tcBorders>
              <w:top w:val="nil"/>
              <w:left w:val="nil"/>
              <w:bottom w:val="nil"/>
              <w:right w:val="nil"/>
            </w:tcBorders>
            <w:shd w:val="clear" w:color="auto" w:fill="auto"/>
            <w:noWrap/>
            <w:vAlign w:val="bottom"/>
            <w:hideMark/>
          </w:tcPr>
          <w:p w14:paraId="564D04A3" w14:textId="77777777" w:rsidR="006667F3" w:rsidRPr="006667F3" w:rsidRDefault="006667F3" w:rsidP="006667F3">
            <w:pPr>
              <w:tabs>
                <w:tab w:val="clear" w:pos="284"/>
              </w:tabs>
              <w:spacing w:after="0" w:line="240" w:lineRule="auto"/>
              <w:jc w:val="right"/>
              <w:rPr>
                <w:sz w:val="20"/>
                <w:szCs w:val="20"/>
              </w:rPr>
            </w:pPr>
            <w:r w:rsidRPr="006667F3">
              <w:rPr>
                <w:sz w:val="20"/>
                <w:szCs w:val="20"/>
              </w:rPr>
              <w:t>3</w:t>
            </w:r>
          </w:p>
        </w:tc>
        <w:tc>
          <w:tcPr>
            <w:tcW w:w="960" w:type="dxa"/>
            <w:tcBorders>
              <w:top w:val="nil"/>
              <w:left w:val="nil"/>
              <w:bottom w:val="nil"/>
              <w:right w:val="nil"/>
            </w:tcBorders>
            <w:shd w:val="clear" w:color="auto" w:fill="auto"/>
            <w:noWrap/>
            <w:vAlign w:val="bottom"/>
            <w:hideMark/>
          </w:tcPr>
          <w:p w14:paraId="63B7C83E" w14:textId="77777777" w:rsidR="006667F3" w:rsidRPr="006667F3" w:rsidRDefault="006667F3" w:rsidP="006667F3">
            <w:pPr>
              <w:tabs>
                <w:tab w:val="clear" w:pos="284"/>
              </w:tabs>
              <w:spacing w:after="0" w:line="240" w:lineRule="auto"/>
              <w:jc w:val="right"/>
              <w:rPr>
                <w:sz w:val="20"/>
                <w:szCs w:val="20"/>
              </w:rPr>
            </w:pPr>
            <w:r w:rsidRPr="006667F3">
              <w:rPr>
                <w:sz w:val="20"/>
                <w:szCs w:val="20"/>
              </w:rPr>
              <w:t>3</w:t>
            </w:r>
          </w:p>
        </w:tc>
        <w:tc>
          <w:tcPr>
            <w:tcW w:w="960" w:type="dxa"/>
            <w:tcBorders>
              <w:top w:val="nil"/>
              <w:left w:val="nil"/>
              <w:bottom w:val="nil"/>
              <w:right w:val="nil"/>
            </w:tcBorders>
            <w:shd w:val="clear" w:color="auto" w:fill="auto"/>
            <w:noWrap/>
            <w:vAlign w:val="bottom"/>
            <w:hideMark/>
          </w:tcPr>
          <w:p w14:paraId="1C89D163" w14:textId="77777777" w:rsidR="006667F3" w:rsidRPr="006667F3" w:rsidRDefault="006667F3" w:rsidP="006667F3">
            <w:pPr>
              <w:tabs>
                <w:tab w:val="clear" w:pos="284"/>
              </w:tabs>
              <w:spacing w:after="0" w:line="240" w:lineRule="auto"/>
              <w:jc w:val="right"/>
              <w:rPr>
                <w:sz w:val="20"/>
                <w:szCs w:val="20"/>
              </w:rPr>
            </w:pPr>
            <w:r w:rsidRPr="006667F3">
              <w:rPr>
                <w:sz w:val="20"/>
                <w:szCs w:val="20"/>
              </w:rPr>
              <w:t>3</w:t>
            </w:r>
          </w:p>
        </w:tc>
        <w:tc>
          <w:tcPr>
            <w:tcW w:w="960" w:type="dxa"/>
            <w:tcBorders>
              <w:top w:val="nil"/>
              <w:left w:val="nil"/>
              <w:bottom w:val="nil"/>
              <w:right w:val="nil"/>
            </w:tcBorders>
            <w:shd w:val="clear" w:color="auto" w:fill="auto"/>
            <w:noWrap/>
            <w:vAlign w:val="bottom"/>
            <w:hideMark/>
          </w:tcPr>
          <w:p w14:paraId="6E3274CA" w14:textId="77777777" w:rsidR="006667F3" w:rsidRPr="006667F3" w:rsidRDefault="006667F3" w:rsidP="006667F3">
            <w:pPr>
              <w:tabs>
                <w:tab w:val="clear" w:pos="284"/>
              </w:tabs>
              <w:spacing w:after="0" w:line="240" w:lineRule="auto"/>
              <w:jc w:val="right"/>
              <w:rPr>
                <w:sz w:val="20"/>
                <w:szCs w:val="20"/>
              </w:rPr>
            </w:pPr>
            <w:r w:rsidRPr="006667F3">
              <w:rPr>
                <w:sz w:val="20"/>
                <w:szCs w:val="20"/>
              </w:rPr>
              <w:t>3</w:t>
            </w:r>
          </w:p>
        </w:tc>
        <w:tc>
          <w:tcPr>
            <w:tcW w:w="960" w:type="dxa"/>
            <w:tcBorders>
              <w:top w:val="nil"/>
              <w:left w:val="nil"/>
              <w:bottom w:val="nil"/>
              <w:right w:val="nil"/>
            </w:tcBorders>
            <w:shd w:val="clear" w:color="auto" w:fill="auto"/>
            <w:noWrap/>
            <w:vAlign w:val="bottom"/>
            <w:hideMark/>
          </w:tcPr>
          <w:p w14:paraId="20B76192" w14:textId="77777777" w:rsidR="006667F3" w:rsidRPr="006667F3" w:rsidRDefault="006667F3" w:rsidP="006667F3">
            <w:pPr>
              <w:tabs>
                <w:tab w:val="clear" w:pos="284"/>
              </w:tabs>
              <w:spacing w:after="0" w:line="240" w:lineRule="auto"/>
              <w:jc w:val="right"/>
              <w:rPr>
                <w:sz w:val="20"/>
                <w:szCs w:val="20"/>
              </w:rPr>
            </w:pPr>
            <w:r w:rsidRPr="006667F3">
              <w:rPr>
                <w:sz w:val="20"/>
                <w:szCs w:val="20"/>
              </w:rPr>
              <w:t>3</w:t>
            </w:r>
          </w:p>
        </w:tc>
      </w:tr>
      <w:tr w:rsidR="006667F3" w:rsidRPr="006667F3" w14:paraId="4B2EA9B1" w14:textId="77777777" w:rsidTr="00140CF6">
        <w:trPr>
          <w:trHeight w:val="255"/>
        </w:trPr>
        <w:tc>
          <w:tcPr>
            <w:tcW w:w="1701" w:type="dxa"/>
            <w:tcBorders>
              <w:top w:val="nil"/>
              <w:left w:val="nil"/>
              <w:bottom w:val="nil"/>
              <w:right w:val="nil"/>
            </w:tcBorders>
            <w:shd w:val="clear" w:color="auto" w:fill="auto"/>
            <w:noWrap/>
            <w:vAlign w:val="bottom"/>
            <w:hideMark/>
          </w:tcPr>
          <w:p w14:paraId="0C45EF5A" w14:textId="77777777" w:rsidR="006667F3" w:rsidRPr="006667F3" w:rsidRDefault="006667F3" w:rsidP="006667F3">
            <w:pPr>
              <w:tabs>
                <w:tab w:val="clear" w:pos="284"/>
              </w:tabs>
              <w:spacing w:after="0" w:line="240" w:lineRule="auto"/>
              <w:rPr>
                <w:sz w:val="20"/>
                <w:szCs w:val="20"/>
              </w:rPr>
            </w:pPr>
            <w:r w:rsidRPr="006667F3">
              <w:rPr>
                <w:sz w:val="20"/>
                <w:szCs w:val="20"/>
              </w:rPr>
              <w:t>Hungary</w:t>
            </w:r>
          </w:p>
        </w:tc>
        <w:tc>
          <w:tcPr>
            <w:tcW w:w="709" w:type="dxa"/>
            <w:tcBorders>
              <w:top w:val="nil"/>
              <w:left w:val="nil"/>
              <w:bottom w:val="nil"/>
              <w:right w:val="nil"/>
            </w:tcBorders>
            <w:shd w:val="clear" w:color="auto" w:fill="auto"/>
            <w:noWrap/>
            <w:vAlign w:val="bottom"/>
            <w:hideMark/>
          </w:tcPr>
          <w:p w14:paraId="71FBF5D5" w14:textId="77777777" w:rsidR="006667F3" w:rsidRPr="006667F3" w:rsidRDefault="006667F3" w:rsidP="006667F3">
            <w:pPr>
              <w:tabs>
                <w:tab w:val="clear" w:pos="284"/>
              </w:tabs>
              <w:spacing w:after="0" w:line="240" w:lineRule="auto"/>
              <w:jc w:val="right"/>
              <w:rPr>
                <w:sz w:val="20"/>
                <w:szCs w:val="20"/>
              </w:rPr>
            </w:pPr>
            <w:r w:rsidRPr="006667F3">
              <w:rPr>
                <w:sz w:val="20"/>
                <w:szCs w:val="20"/>
              </w:rPr>
              <w:t>..</w:t>
            </w:r>
          </w:p>
        </w:tc>
        <w:tc>
          <w:tcPr>
            <w:tcW w:w="960" w:type="dxa"/>
            <w:tcBorders>
              <w:top w:val="nil"/>
              <w:left w:val="nil"/>
              <w:bottom w:val="nil"/>
              <w:right w:val="nil"/>
            </w:tcBorders>
            <w:shd w:val="clear" w:color="auto" w:fill="auto"/>
            <w:noWrap/>
            <w:vAlign w:val="bottom"/>
            <w:hideMark/>
          </w:tcPr>
          <w:p w14:paraId="6A12D7AD" w14:textId="77777777" w:rsidR="006667F3" w:rsidRPr="006667F3" w:rsidRDefault="006667F3" w:rsidP="006667F3">
            <w:pPr>
              <w:tabs>
                <w:tab w:val="clear" w:pos="284"/>
              </w:tabs>
              <w:spacing w:after="0" w:line="240" w:lineRule="auto"/>
              <w:jc w:val="right"/>
              <w:rPr>
                <w:sz w:val="20"/>
                <w:szCs w:val="20"/>
              </w:rPr>
            </w:pPr>
            <w:r w:rsidRPr="006667F3">
              <w:rPr>
                <w:sz w:val="20"/>
                <w:szCs w:val="20"/>
              </w:rPr>
              <w:t>..</w:t>
            </w:r>
          </w:p>
        </w:tc>
        <w:tc>
          <w:tcPr>
            <w:tcW w:w="960" w:type="dxa"/>
            <w:tcBorders>
              <w:top w:val="nil"/>
              <w:left w:val="nil"/>
              <w:bottom w:val="nil"/>
              <w:right w:val="nil"/>
            </w:tcBorders>
            <w:shd w:val="clear" w:color="auto" w:fill="auto"/>
            <w:noWrap/>
            <w:vAlign w:val="bottom"/>
            <w:hideMark/>
          </w:tcPr>
          <w:p w14:paraId="6FE8E5E1" w14:textId="77777777" w:rsidR="006667F3" w:rsidRPr="006667F3" w:rsidRDefault="006667F3" w:rsidP="006667F3">
            <w:pPr>
              <w:tabs>
                <w:tab w:val="clear" w:pos="284"/>
              </w:tabs>
              <w:spacing w:after="0" w:line="240" w:lineRule="auto"/>
              <w:jc w:val="right"/>
              <w:rPr>
                <w:sz w:val="20"/>
                <w:szCs w:val="20"/>
              </w:rPr>
            </w:pPr>
            <w:r w:rsidRPr="006667F3">
              <w:rPr>
                <w:sz w:val="20"/>
                <w:szCs w:val="20"/>
              </w:rPr>
              <w:t>..</w:t>
            </w:r>
          </w:p>
        </w:tc>
        <w:tc>
          <w:tcPr>
            <w:tcW w:w="960" w:type="dxa"/>
            <w:tcBorders>
              <w:top w:val="nil"/>
              <w:left w:val="nil"/>
              <w:bottom w:val="nil"/>
              <w:right w:val="nil"/>
            </w:tcBorders>
            <w:shd w:val="clear" w:color="auto" w:fill="auto"/>
            <w:noWrap/>
            <w:vAlign w:val="bottom"/>
            <w:hideMark/>
          </w:tcPr>
          <w:p w14:paraId="54C7E75E" w14:textId="77777777" w:rsidR="006667F3" w:rsidRPr="006667F3" w:rsidRDefault="006667F3" w:rsidP="006667F3">
            <w:pPr>
              <w:tabs>
                <w:tab w:val="clear" w:pos="284"/>
              </w:tabs>
              <w:spacing w:after="0" w:line="240" w:lineRule="auto"/>
              <w:jc w:val="right"/>
              <w:rPr>
                <w:sz w:val="20"/>
                <w:szCs w:val="20"/>
              </w:rPr>
            </w:pPr>
            <w:r w:rsidRPr="006667F3">
              <w:rPr>
                <w:sz w:val="20"/>
                <w:szCs w:val="20"/>
              </w:rPr>
              <w:t>..</w:t>
            </w:r>
          </w:p>
        </w:tc>
        <w:tc>
          <w:tcPr>
            <w:tcW w:w="960" w:type="dxa"/>
            <w:tcBorders>
              <w:top w:val="nil"/>
              <w:left w:val="nil"/>
              <w:bottom w:val="nil"/>
              <w:right w:val="nil"/>
            </w:tcBorders>
            <w:shd w:val="clear" w:color="auto" w:fill="auto"/>
            <w:noWrap/>
            <w:vAlign w:val="bottom"/>
            <w:hideMark/>
          </w:tcPr>
          <w:p w14:paraId="1403DA17" w14:textId="77777777" w:rsidR="006667F3" w:rsidRPr="006667F3" w:rsidRDefault="006667F3" w:rsidP="006667F3">
            <w:pPr>
              <w:tabs>
                <w:tab w:val="clear" w:pos="284"/>
              </w:tabs>
              <w:spacing w:after="0" w:line="240" w:lineRule="auto"/>
              <w:jc w:val="right"/>
              <w:rPr>
                <w:sz w:val="20"/>
                <w:szCs w:val="20"/>
              </w:rPr>
            </w:pPr>
            <w:r w:rsidRPr="006667F3">
              <w:rPr>
                <w:sz w:val="20"/>
                <w:szCs w:val="20"/>
              </w:rPr>
              <w:t>..</w:t>
            </w:r>
          </w:p>
        </w:tc>
        <w:tc>
          <w:tcPr>
            <w:tcW w:w="960" w:type="dxa"/>
            <w:tcBorders>
              <w:top w:val="nil"/>
              <w:left w:val="nil"/>
              <w:bottom w:val="nil"/>
              <w:right w:val="nil"/>
            </w:tcBorders>
            <w:shd w:val="clear" w:color="auto" w:fill="auto"/>
            <w:noWrap/>
            <w:vAlign w:val="bottom"/>
            <w:hideMark/>
          </w:tcPr>
          <w:p w14:paraId="72D26F22"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0DFE4FD5"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7049682E"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r>
      <w:tr w:rsidR="006667F3" w:rsidRPr="006667F3" w14:paraId="5C3A619F" w14:textId="77777777" w:rsidTr="00140CF6">
        <w:trPr>
          <w:trHeight w:val="255"/>
        </w:trPr>
        <w:tc>
          <w:tcPr>
            <w:tcW w:w="1701" w:type="dxa"/>
            <w:tcBorders>
              <w:top w:val="nil"/>
              <w:left w:val="nil"/>
              <w:bottom w:val="nil"/>
              <w:right w:val="nil"/>
            </w:tcBorders>
            <w:shd w:val="clear" w:color="auto" w:fill="auto"/>
            <w:noWrap/>
            <w:vAlign w:val="bottom"/>
            <w:hideMark/>
          </w:tcPr>
          <w:p w14:paraId="5830C43D" w14:textId="77777777" w:rsidR="006667F3" w:rsidRPr="006667F3" w:rsidRDefault="006667F3" w:rsidP="006667F3">
            <w:pPr>
              <w:tabs>
                <w:tab w:val="clear" w:pos="284"/>
              </w:tabs>
              <w:spacing w:after="0" w:line="240" w:lineRule="auto"/>
              <w:rPr>
                <w:sz w:val="20"/>
                <w:szCs w:val="20"/>
              </w:rPr>
            </w:pPr>
            <w:r w:rsidRPr="006667F3">
              <w:rPr>
                <w:sz w:val="20"/>
                <w:szCs w:val="20"/>
              </w:rPr>
              <w:t>Czech Republic</w:t>
            </w:r>
          </w:p>
        </w:tc>
        <w:tc>
          <w:tcPr>
            <w:tcW w:w="709" w:type="dxa"/>
            <w:tcBorders>
              <w:top w:val="nil"/>
              <w:left w:val="nil"/>
              <w:bottom w:val="nil"/>
              <w:right w:val="nil"/>
            </w:tcBorders>
            <w:shd w:val="clear" w:color="auto" w:fill="auto"/>
            <w:noWrap/>
            <w:vAlign w:val="bottom"/>
            <w:hideMark/>
          </w:tcPr>
          <w:p w14:paraId="61E5494D"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3439F374"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2E3D72DF"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066CA4AA"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10F5C475"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3F7E86E8"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c>
          <w:tcPr>
            <w:tcW w:w="960" w:type="dxa"/>
            <w:tcBorders>
              <w:top w:val="nil"/>
              <w:left w:val="nil"/>
              <w:bottom w:val="nil"/>
              <w:right w:val="nil"/>
            </w:tcBorders>
            <w:shd w:val="clear" w:color="auto" w:fill="auto"/>
            <w:noWrap/>
            <w:vAlign w:val="bottom"/>
            <w:hideMark/>
          </w:tcPr>
          <w:p w14:paraId="740A5A47" w14:textId="77777777" w:rsidR="006667F3" w:rsidRPr="006667F3" w:rsidRDefault="006667F3" w:rsidP="006667F3">
            <w:pPr>
              <w:tabs>
                <w:tab w:val="clear" w:pos="284"/>
              </w:tabs>
              <w:spacing w:after="0" w:line="240" w:lineRule="auto"/>
              <w:jc w:val="right"/>
              <w:rPr>
                <w:sz w:val="20"/>
                <w:szCs w:val="20"/>
              </w:rPr>
            </w:pPr>
            <w:r w:rsidRPr="006667F3">
              <w:rPr>
                <w:sz w:val="20"/>
                <w:szCs w:val="20"/>
              </w:rPr>
              <w:t>4</w:t>
            </w:r>
          </w:p>
        </w:tc>
        <w:tc>
          <w:tcPr>
            <w:tcW w:w="960" w:type="dxa"/>
            <w:tcBorders>
              <w:top w:val="nil"/>
              <w:left w:val="nil"/>
              <w:bottom w:val="nil"/>
              <w:right w:val="nil"/>
            </w:tcBorders>
            <w:shd w:val="clear" w:color="auto" w:fill="auto"/>
            <w:noWrap/>
            <w:vAlign w:val="bottom"/>
            <w:hideMark/>
          </w:tcPr>
          <w:p w14:paraId="4C365A7E"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r>
      <w:tr w:rsidR="006667F3" w:rsidRPr="006667F3" w14:paraId="3F2CE928" w14:textId="77777777" w:rsidTr="00140CF6">
        <w:trPr>
          <w:trHeight w:val="255"/>
        </w:trPr>
        <w:tc>
          <w:tcPr>
            <w:tcW w:w="1701" w:type="dxa"/>
            <w:tcBorders>
              <w:top w:val="nil"/>
              <w:left w:val="nil"/>
              <w:bottom w:val="nil"/>
              <w:right w:val="nil"/>
            </w:tcBorders>
            <w:shd w:val="clear" w:color="auto" w:fill="auto"/>
            <w:noWrap/>
            <w:vAlign w:val="bottom"/>
            <w:hideMark/>
          </w:tcPr>
          <w:p w14:paraId="46C00666" w14:textId="77777777" w:rsidR="006667F3" w:rsidRPr="006667F3" w:rsidRDefault="006667F3" w:rsidP="006667F3">
            <w:pPr>
              <w:tabs>
                <w:tab w:val="clear" w:pos="284"/>
              </w:tabs>
              <w:spacing w:after="0" w:line="240" w:lineRule="auto"/>
              <w:rPr>
                <w:sz w:val="20"/>
                <w:szCs w:val="20"/>
              </w:rPr>
            </w:pPr>
            <w:r w:rsidRPr="006667F3">
              <w:rPr>
                <w:sz w:val="20"/>
                <w:szCs w:val="20"/>
              </w:rPr>
              <w:t>Portugal</w:t>
            </w:r>
          </w:p>
        </w:tc>
        <w:tc>
          <w:tcPr>
            <w:tcW w:w="709" w:type="dxa"/>
            <w:tcBorders>
              <w:top w:val="nil"/>
              <w:left w:val="nil"/>
              <w:bottom w:val="nil"/>
              <w:right w:val="nil"/>
            </w:tcBorders>
            <w:shd w:val="clear" w:color="auto" w:fill="auto"/>
            <w:noWrap/>
            <w:vAlign w:val="bottom"/>
            <w:hideMark/>
          </w:tcPr>
          <w:p w14:paraId="4FC257A3"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c>
          <w:tcPr>
            <w:tcW w:w="960" w:type="dxa"/>
            <w:tcBorders>
              <w:top w:val="nil"/>
              <w:left w:val="nil"/>
              <w:bottom w:val="nil"/>
              <w:right w:val="nil"/>
            </w:tcBorders>
            <w:shd w:val="clear" w:color="auto" w:fill="auto"/>
            <w:noWrap/>
            <w:vAlign w:val="bottom"/>
            <w:hideMark/>
          </w:tcPr>
          <w:p w14:paraId="6DA8E739"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c>
          <w:tcPr>
            <w:tcW w:w="960" w:type="dxa"/>
            <w:tcBorders>
              <w:top w:val="nil"/>
              <w:left w:val="nil"/>
              <w:bottom w:val="nil"/>
              <w:right w:val="nil"/>
            </w:tcBorders>
            <w:shd w:val="clear" w:color="auto" w:fill="auto"/>
            <w:noWrap/>
            <w:vAlign w:val="bottom"/>
            <w:hideMark/>
          </w:tcPr>
          <w:p w14:paraId="03BB5BD7"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c>
          <w:tcPr>
            <w:tcW w:w="960" w:type="dxa"/>
            <w:tcBorders>
              <w:top w:val="nil"/>
              <w:left w:val="nil"/>
              <w:bottom w:val="nil"/>
              <w:right w:val="nil"/>
            </w:tcBorders>
            <w:shd w:val="clear" w:color="auto" w:fill="auto"/>
            <w:noWrap/>
            <w:vAlign w:val="bottom"/>
            <w:hideMark/>
          </w:tcPr>
          <w:p w14:paraId="45BEEA66"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483313BC"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6A88F47A"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c>
          <w:tcPr>
            <w:tcW w:w="960" w:type="dxa"/>
            <w:tcBorders>
              <w:top w:val="nil"/>
              <w:left w:val="nil"/>
              <w:bottom w:val="nil"/>
              <w:right w:val="nil"/>
            </w:tcBorders>
            <w:shd w:val="clear" w:color="auto" w:fill="auto"/>
            <w:noWrap/>
            <w:vAlign w:val="bottom"/>
            <w:hideMark/>
          </w:tcPr>
          <w:p w14:paraId="2317DCB7"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c>
          <w:tcPr>
            <w:tcW w:w="960" w:type="dxa"/>
            <w:tcBorders>
              <w:top w:val="nil"/>
              <w:left w:val="nil"/>
              <w:bottom w:val="nil"/>
              <w:right w:val="nil"/>
            </w:tcBorders>
            <w:shd w:val="clear" w:color="auto" w:fill="auto"/>
            <w:noWrap/>
            <w:vAlign w:val="bottom"/>
            <w:hideMark/>
          </w:tcPr>
          <w:p w14:paraId="657B1DA3"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r>
      <w:tr w:rsidR="006667F3" w:rsidRPr="006667F3" w14:paraId="260363A3" w14:textId="77777777" w:rsidTr="00140CF6">
        <w:trPr>
          <w:trHeight w:val="255"/>
        </w:trPr>
        <w:tc>
          <w:tcPr>
            <w:tcW w:w="1701" w:type="dxa"/>
            <w:tcBorders>
              <w:top w:val="nil"/>
              <w:left w:val="nil"/>
              <w:bottom w:val="nil"/>
              <w:right w:val="nil"/>
            </w:tcBorders>
            <w:shd w:val="clear" w:color="auto" w:fill="auto"/>
            <w:noWrap/>
            <w:vAlign w:val="bottom"/>
            <w:hideMark/>
          </w:tcPr>
          <w:p w14:paraId="38F96F6F" w14:textId="77777777" w:rsidR="006667F3" w:rsidRPr="006667F3" w:rsidRDefault="006667F3" w:rsidP="006667F3">
            <w:pPr>
              <w:tabs>
                <w:tab w:val="clear" w:pos="284"/>
              </w:tabs>
              <w:spacing w:after="0" w:line="240" w:lineRule="auto"/>
              <w:rPr>
                <w:sz w:val="20"/>
                <w:szCs w:val="20"/>
              </w:rPr>
            </w:pPr>
            <w:r w:rsidRPr="006667F3">
              <w:rPr>
                <w:sz w:val="20"/>
                <w:szCs w:val="20"/>
              </w:rPr>
              <w:t>Greece</w:t>
            </w:r>
          </w:p>
        </w:tc>
        <w:tc>
          <w:tcPr>
            <w:tcW w:w="709" w:type="dxa"/>
            <w:tcBorders>
              <w:top w:val="nil"/>
              <w:left w:val="nil"/>
              <w:bottom w:val="nil"/>
              <w:right w:val="nil"/>
            </w:tcBorders>
            <w:shd w:val="clear" w:color="auto" w:fill="auto"/>
            <w:noWrap/>
            <w:vAlign w:val="bottom"/>
            <w:hideMark/>
          </w:tcPr>
          <w:p w14:paraId="5434CF3D"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08FF2FCE"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40D9A0BE"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77F8679F"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0FAC2D5C"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5B54D9CB"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61342380"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2842CEC7"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r>
      <w:tr w:rsidR="006667F3" w:rsidRPr="006667F3" w14:paraId="35ABEF59" w14:textId="77777777" w:rsidTr="00140CF6">
        <w:trPr>
          <w:trHeight w:val="255"/>
        </w:trPr>
        <w:tc>
          <w:tcPr>
            <w:tcW w:w="1701" w:type="dxa"/>
            <w:tcBorders>
              <w:top w:val="nil"/>
              <w:left w:val="nil"/>
              <w:bottom w:val="nil"/>
              <w:right w:val="nil"/>
            </w:tcBorders>
            <w:shd w:val="clear" w:color="auto" w:fill="auto"/>
            <w:noWrap/>
            <w:vAlign w:val="bottom"/>
            <w:hideMark/>
          </w:tcPr>
          <w:p w14:paraId="6B1238A8" w14:textId="77777777" w:rsidR="006667F3" w:rsidRPr="006667F3" w:rsidRDefault="006667F3" w:rsidP="006667F3">
            <w:pPr>
              <w:tabs>
                <w:tab w:val="clear" w:pos="284"/>
              </w:tabs>
              <w:spacing w:after="0" w:line="240" w:lineRule="auto"/>
              <w:rPr>
                <w:sz w:val="20"/>
                <w:szCs w:val="20"/>
              </w:rPr>
            </w:pPr>
            <w:r w:rsidRPr="006667F3">
              <w:rPr>
                <w:sz w:val="20"/>
                <w:szCs w:val="20"/>
              </w:rPr>
              <w:t>Slovenia</w:t>
            </w:r>
          </w:p>
        </w:tc>
        <w:tc>
          <w:tcPr>
            <w:tcW w:w="709" w:type="dxa"/>
            <w:tcBorders>
              <w:top w:val="nil"/>
              <w:left w:val="nil"/>
              <w:bottom w:val="nil"/>
              <w:right w:val="nil"/>
            </w:tcBorders>
            <w:shd w:val="clear" w:color="auto" w:fill="auto"/>
            <w:noWrap/>
            <w:vAlign w:val="bottom"/>
            <w:hideMark/>
          </w:tcPr>
          <w:p w14:paraId="35147A12"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6D9BD3E3"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0E1C9305"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c>
          <w:tcPr>
            <w:tcW w:w="960" w:type="dxa"/>
            <w:tcBorders>
              <w:top w:val="nil"/>
              <w:left w:val="nil"/>
              <w:bottom w:val="nil"/>
              <w:right w:val="nil"/>
            </w:tcBorders>
            <w:shd w:val="clear" w:color="auto" w:fill="auto"/>
            <w:noWrap/>
            <w:vAlign w:val="bottom"/>
            <w:hideMark/>
          </w:tcPr>
          <w:p w14:paraId="7940DB7D"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nil"/>
              <w:right w:val="nil"/>
            </w:tcBorders>
            <w:shd w:val="clear" w:color="auto" w:fill="auto"/>
            <w:noWrap/>
            <w:vAlign w:val="bottom"/>
            <w:hideMark/>
          </w:tcPr>
          <w:p w14:paraId="48313ED9"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c>
          <w:tcPr>
            <w:tcW w:w="960" w:type="dxa"/>
            <w:tcBorders>
              <w:top w:val="nil"/>
              <w:left w:val="nil"/>
              <w:bottom w:val="nil"/>
              <w:right w:val="nil"/>
            </w:tcBorders>
            <w:shd w:val="clear" w:color="auto" w:fill="auto"/>
            <w:noWrap/>
            <w:vAlign w:val="bottom"/>
            <w:hideMark/>
          </w:tcPr>
          <w:p w14:paraId="2444EF2A" w14:textId="77777777" w:rsidR="006667F3" w:rsidRPr="006667F3" w:rsidRDefault="006667F3" w:rsidP="006667F3">
            <w:pPr>
              <w:tabs>
                <w:tab w:val="clear" w:pos="284"/>
              </w:tabs>
              <w:spacing w:after="0" w:line="240" w:lineRule="auto"/>
              <w:jc w:val="right"/>
              <w:rPr>
                <w:sz w:val="20"/>
                <w:szCs w:val="20"/>
              </w:rPr>
            </w:pPr>
            <w:r w:rsidRPr="006667F3">
              <w:rPr>
                <w:sz w:val="20"/>
                <w:szCs w:val="20"/>
              </w:rPr>
              <w:t>3</w:t>
            </w:r>
          </w:p>
        </w:tc>
        <w:tc>
          <w:tcPr>
            <w:tcW w:w="960" w:type="dxa"/>
            <w:tcBorders>
              <w:top w:val="nil"/>
              <w:left w:val="nil"/>
              <w:bottom w:val="nil"/>
              <w:right w:val="nil"/>
            </w:tcBorders>
            <w:shd w:val="clear" w:color="auto" w:fill="auto"/>
            <w:noWrap/>
            <w:vAlign w:val="bottom"/>
            <w:hideMark/>
          </w:tcPr>
          <w:p w14:paraId="0397DA0E" w14:textId="77777777" w:rsidR="006667F3" w:rsidRPr="006667F3" w:rsidRDefault="006667F3" w:rsidP="006667F3">
            <w:pPr>
              <w:tabs>
                <w:tab w:val="clear" w:pos="284"/>
              </w:tabs>
              <w:spacing w:after="0" w:line="240" w:lineRule="auto"/>
              <w:jc w:val="right"/>
              <w:rPr>
                <w:sz w:val="20"/>
                <w:szCs w:val="20"/>
              </w:rPr>
            </w:pPr>
            <w:r w:rsidRPr="006667F3">
              <w:rPr>
                <w:sz w:val="20"/>
                <w:szCs w:val="20"/>
              </w:rPr>
              <w:t>2</w:t>
            </w:r>
          </w:p>
        </w:tc>
        <w:tc>
          <w:tcPr>
            <w:tcW w:w="960" w:type="dxa"/>
            <w:tcBorders>
              <w:top w:val="nil"/>
              <w:left w:val="nil"/>
              <w:bottom w:val="nil"/>
              <w:right w:val="nil"/>
            </w:tcBorders>
            <w:shd w:val="clear" w:color="auto" w:fill="auto"/>
            <w:noWrap/>
            <w:vAlign w:val="bottom"/>
            <w:hideMark/>
          </w:tcPr>
          <w:p w14:paraId="7394FC9C"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r>
      <w:tr w:rsidR="006667F3" w:rsidRPr="006667F3" w14:paraId="649E8BEA" w14:textId="77777777" w:rsidTr="00140CF6">
        <w:trPr>
          <w:trHeight w:val="255"/>
        </w:trPr>
        <w:tc>
          <w:tcPr>
            <w:tcW w:w="1701" w:type="dxa"/>
            <w:tcBorders>
              <w:top w:val="nil"/>
              <w:left w:val="nil"/>
              <w:bottom w:val="single" w:sz="4" w:space="0" w:color="auto"/>
              <w:right w:val="nil"/>
            </w:tcBorders>
            <w:shd w:val="clear" w:color="auto" w:fill="auto"/>
            <w:noWrap/>
            <w:vAlign w:val="bottom"/>
            <w:hideMark/>
          </w:tcPr>
          <w:p w14:paraId="2009FAC8" w14:textId="77777777" w:rsidR="006667F3" w:rsidRPr="006667F3" w:rsidRDefault="006667F3" w:rsidP="006667F3">
            <w:pPr>
              <w:tabs>
                <w:tab w:val="clear" w:pos="284"/>
              </w:tabs>
              <w:spacing w:after="0" w:line="240" w:lineRule="auto"/>
              <w:rPr>
                <w:sz w:val="20"/>
                <w:szCs w:val="20"/>
              </w:rPr>
            </w:pPr>
            <w:r w:rsidRPr="006667F3">
              <w:rPr>
                <w:sz w:val="20"/>
                <w:szCs w:val="20"/>
              </w:rPr>
              <w:t>Poland</w:t>
            </w:r>
          </w:p>
        </w:tc>
        <w:tc>
          <w:tcPr>
            <w:tcW w:w="709" w:type="dxa"/>
            <w:tcBorders>
              <w:top w:val="nil"/>
              <w:left w:val="nil"/>
              <w:bottom w:val="single" w:sz="4" w:space="0" w:color="auto"/>
              <w:right w:val="nil"/>
            </w:tcBorders>
            <w:shd w:val="clear" w:color="auto" w:fill="auto"/>
            <w:noWrap/>
            <w:vAlign w:val="bottom"/>
            <w:hideMark/>
          </w:tcPr>
          <w:p w14:paraId="39E68F24" w14:textId="77777777" w:rsidR="006667F3" w:rsidRPr="006667F3" w:rsidRDefault="006667F3" w:rsidP="006667F3">
            <w:pPr>
              <w:tabs>
                <w:tab w:val="clear" w:pos="284"/>
              </w:tabs>
              <w:spacing w:after="0" w:line="240" w:lineRule="auto"/>
              <w:jc w:val="right"/>
              <w:rPr>
                <w:sz w:val="20"/>
                <w:szCs w:val="20"/>
              </w:rPr>
            </w:pPr>
            <w:r w:rsidRPr="006667F3">
              <w:rPr>
                <w:sz w:val="20"/>
                <w:szCs w:val="20"/>
              </w:rPr>
              <w:t>..</w:t>
            </w:r>
          </w:p>
        </w:tc>
        <w:tc>
          <w:tcPr>
            <w:tcW w:w="960" w:type="dxa"/>
            <w:tcBorders>
              <w:top w:val="nil"/>
              <w:left w:val="nil"/>
              <w:bottom w:val="single" w:sz="4" w:space="0" w:color="auto"/>
              <w:right w:val="nil"/>
            </w:tcBorders>
            <w:shd w:val="clear" w:color="auto" w:fill="auto"/>
            <w:noWrap/>
            <w:vAlign w:val="bottom"/>
            <w:hideMark/>
          </w:tcPr>
          <w:p w14:paraId="5D0E32AA" w14:textId="77777777" w:rsidR="006667F3" w:rsidRPr="006667F3" w:rsidRDefault="006667F3" w:rsidP="006667F3">
            <w:pPr>
              <w:tabs>
                <w:tab w:val="clear" w:pos="284"/>
              </w:tabs>
              <w:spacing w:after="0" w:line="240" w:lineRule="auto"/>
              <w:jc w:val="right"/>
              <w:rPr>
                <w:sz w:val="20"/>
                <w:szCs w:val="20"/>
              </w:rPr>
            </w:pPr>
            <w:r w:rsidRPr="006667F3">
              <w:rPr>
                <w:sz w:val="20"/>
                <w:szCs w:val="20"/>
              </w:rPr>
              <w:t>..</w:t>
            </w:r>
          </w:p>
        </w:tc>
        <w:tc>
          <w:tcPr>
            <w:tcW w:w="960" w:type="dxa"/>
            <w:tcBorders>
              <w:top w:val="nil"/>
              <w:left w:val="nil"/>
              <w:bottom w:val="single" w:sz="4" w:space="0" w:color="auto"/>
              <w:right w:val="nil"/>
            </w:tcBorders>
            <w:shd w:val="clear" w:color="auto" w:fill="auto"/>
            <w:noWrap/>
            <w:vAlign w:val="bottom"/>
            <w:hideMark/>
          </w:tcPr>
          <w:p w14:paraId="04BA94C1"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single" w:sz="4" w:space="0" w:color="auto"/>
              <w:right w:val="nil"/>
            </w:tcBorders>
            <w:shd w:val="clear" w:color="auto" w:fill="auto"/>
            <w:noWrap/>
            <w:vAlign w:val="bottom"/>
            <w:hideMark/>
          </w:tcPr>
          <w:p w14:paraId="04E9604C"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single" w:sz="4" w:space="0" w:color="auto"/>
              <w:right w:val="nil"/>
            </w:tcBorders>
            <w:shd w:val="clear" w:color="auto" w:fill="auto"/>
            <w:noWrap/>
            <w:vAlign w:val="bottom"/>
            <w:hideMark/>
          </w:tcPr>
          <w:p w14:paraId="081FEF39"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single" w:sz="4" w:space="0" w:color="auto"/>
              <w:right w:val="nil"/>
            </w:tcBorders>
            <w:shd w:val="clear" w:color="auto" w:fill="auto"/>
            <w:noWrap/>
            <w:vAlign w:val="bottom"/>
            <w:hideMark/>
          </w:tcPr>
          <w:p w14:paraId="4C29063E"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single" w:sz="4" w:space="0" w:color="auto"/>
              <w:right w:val="nil"/>
            </w:tcBorders>
            <w:shd w:val="clear" w:color="auto" w:fill="auto"/>
            <w:noWrap/>
            <w:vAlign w:val="bottom"/>
            <w:hideMark/>
          </w:tcPr>
          <w:p w14:paraId="5CE15CA0"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c>
          <w:tcPr>
            <w:tcW w:w="960" w:type="dxa"/>
            <w:tcBorders>
              <w:top w:val="nil"/>
              <w:left w:val="nil"/>
              <w:bottom w:val="single" w:sz="4" w:space="0" w:color="auto"/>
              <w:right w:val="nil"/>
            </w:tcBorders>
            <w:shd w:val="clear" w:color="auto" w:fill="auto"/>
            <w:noWrap/>
            <w:vAlign w:val="bottom"/>
            <w:hideMark/>
          </w:tcPr>
          <w:p w14:paraId="4CAB59BD" w14:textId="77777777" w:rsidR="006667F3" w:rsidRPr="006667F3" w:rsidRDefault="006667F3" w:rsidP="006667F3">
            <w:pPr>
              <w:tabs>
                <w:tab w:val="clear" w:pos="284"/>
              </w:tabs>
              <w:spacing w:after="0" w:line="240" w:lineRule="auto"/>
              <w:jc w:val="right"/>
              <w:rPr>
                <w:sz w:val="20"/>
                <w:szCs w:val="20"/>
              </w:rPr>
            </w:pPr>
            <w:r w:rsidRPr="006667F3">
              <w:rPr>
                <w:sz w:val="20"/>
                <w:szCs w:val="20"/>
              </w:rPr>
              <w:t>1</w:t>
            </w:r>
          </w:p>
        </w:tc>
      </w:tr>
    </w:tbl>
    <w:p w14:paraId="16D394A2" w14:textId="29F24736" w:rsidR="006667F3" w:rsidRDefault="00CF0644" w:rsidP="00140CF6">
      <w:pPr>
        <w:ind w:right="-1871"/>
        <w:rPr>
          <w:sz w:val="20"/>
          <w:szCs w:val="20"/>
        </w:rPr>
      </w:pPr>
      <w:r w:rsidRPr="00140CF6">
        <w:rPr>
          <w:sz w:val="20"/>
          <w:szCs w:val="20"/>
        </w:rPr>
        <w:t>Källa: Utrikesdepartementet sammanställning med uppgifter från OECD. Utr</w:t>
      </w:r>
      <w:r w:rsidR="00486387" w:rsidRPr="00140CF6">
        <w:rPr>
          <w:sz w:val="20"/>
          <w:szCs w:val="20"/>
        </w:rPr>
        <w:t>ednings</w:t>
      </w:r>
      <w:r w:rsidRPr="00140CF6">
        <w:rPr>
          <w:sz w:val="20"/>
          <w:szCs w:val="20"/>
        </w:rPr>
        <w:t>tjänstens bearbetning</w:t>
      </w:r>
      <w:r w:rsidR="00486387" w:rsidRPr="00140CF6">
        <w:rPr>
          <w:sz w:val="20"/>
          <w:szCs w:val="20"/>
        </w:rPr>
        <w:t>.</w:t>
      </w:r>
    </w:p>
    <w:p w14:paraId="4EA2AB39" w14:textId="5C75433F" w:rsidR="00017C7D" w:rsidRDefault="00017C7D" w:rsidP="00140CF6">
      <w:pPr>
        <w:ind w:right="-1871"/>
      </w:pPr>
    </w:p>
    <w:p w14:paraId="19A1BE5A" w14:textId="6D103CD6" w:rsidR="00017C7D" w:rsidRDefault="00017C7D" w:rsidP="00140CF6">
      <w:pPr>
        <w:ind w:right="-1871"/>
      </w:pPr>
    </w:p>
    <w:p w14:paraId="651CDD8D" w14:textId="77777777" w:rsidR="00017C7D" w:rsidRPr="000A7FFD" w:rsidRDefault="00017C7D"/>
    <w:p w14:paraId="22586F43" w14:textId="0DFE9B2C" w:rsidR="00017C7D" w:rsidRDefault="00017C7D" w:rsidP="00017C7D">
      <w:pPr>
        <w:pStyle w:val="Beskrivning"/>
      </w:pPr>
      <w:r>
        <w:lastRenderedPageBreak/>
        <w:t xml:space="preserve">Diagram </w:t>
      </w:r>
      <w:r w:rsidR="00A92912">
        <w:fldChar w:fldCharType="begin"/>
      </w:r>
      <w:r w:rsidR="00A92912">
        <w:instrText xml:space="preserve"> SEQ Diagram \* ARABIC </w:instrText>
      </w:r>
      <w:r w:rsidR="00A92912">
        <w:fldChar w:fldCharType="separate"/>
      </w:r>
      <w:r>
        <w:rPr>
          <w:noProof/>
        </w:rPr>
        <w:t>3</w:t>
      </w:r>
      <w:r w:rsidR="00A92912">
        <w:rPr>
          <w:noProof/>
        </w:rPr>
        <w:fldChar w:fldCharType="end"/>
      </w:r>
      <w:r>
        <w:rPr>
          <w:noProof/>
        </w:rPr>
        <w:t>:</w:t>
      </w:r>
      <w:r w:rsidRPr="00CF0644">
        <w:t xml:space="preserve"> </w:t>
      </w:r>
      <w:r>
        <w:t>Totalt bistånd i USD/capita länder, 2011–2018.</w:t>
      </w:r>
      <w:r w:rsidRPr="00017C7D">
        <w:rPr>
          <w:noProof/>
        </w:rPr>
        <w:t xml:space="preserve"> </w:t>
      </w:r>
      <w:r>
        <w:rPr>
          <w:noProof/>
        </w:rPr>
        <w:drawing>
          <wp:inline distT="0" distB="0" distL="0" distR="0" wp14:anchorId="6339404F" wp14:editId="6B59E5A9">
            <wp:extent cx="4572635" cy="3877056"/>
            <wp:effectExtent l="0" t="0" r="0" b="0"/>
            <wp:docPr id="10" name="Diagram 10">
              <a:extLst xmlns:a="http://schemas.openxmlformats.org/drawingml/2006/main">
                <a:ext uri="{FF2B5EF4-FFF2-40B4-BE49-F238E27FC236}">
                  <a16:creationId xmlns:a16="http://schemas.microsoft.com/office/drawing/2014/main" id="{3D7B9EC6-57D3-4B36-974A-3BCA1732B1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667F3">
        <w:t xml:space="preserve"> Källa: Utrikesdepartementet sammanställning med uppgifter från OECD. Utr</w:t>
      </w:r>
      <w:r>
        <w:t>edningst</w:t>
      </w:r>
      <w:r w:rsidRPr="006667F3">
        <w:t>jänstens</w:t>
      </w:r>
      <w:r>
        <w:t xml:space="preserve"> </w:t>
      </w:r>
      <w:r w:rsidRPr="006667F3">
        <w:t>bearbetning</w:t>
      </w:r>
    </w:p>
    <w:p w14:paraId="40A5C6C7" w14:textId="066CEBB3" w:rsidR="003757B0" w:rsidRDefault="003757B0" w:rsidP="00CF0644"/>
    <w:p w14:paraId="1B9ADAB7" w14:textId="1EC56A29" w:rsidR="000824D0" w:rsidRDefault="000824D0" w:rsidP="00CF0644"/>
    <w:p w14:paraId="16866BE8" w14:textId="3DE661EC" w:rsidR="000824D0" w:rsidRDefault="000824D0" w:rsidP="00CF0644"/>
    <w:p w14:paraId="4A476EE1" w14:textId="317586E7" w:rsidR="000824D0" w:rsidRDefault="000824D0" w:rsidP="00CF0644"/>
    <w:p w14:paraId="04C52B9B" w14:textId="1B268B10" w:rsidR="000824D0" w:rsidRDefault="000824D0" w:rsidP="00CF0644"/>
    <w:p w14:paraId="30B1AFAB" w14:textId="2BACF835" w:rsidR="000824D0" w:rsidRDefault="000824D0" w:rsidP="00CF0644"/>
    <w:p w14:paraId="25BACEDD" w14:textId="0A9EC450" w:rsidR="000824D0" w:rsidRDefault="000824D0" w:rsidP="00CF0644"/>
    <w:p w14:paraId="07DDE43E" w14:textId="6689D452" w:rsidR="000824D0" w:rsidRDefault="000824D0" w:rsidP="00CF0644"/>
    <w:p w14:paraId="50A337A9" w14:textId="209B417D" w:rsidR="000824D0" w:rsidRDefault="000824D0" w:rsidP="00CF0644"/>
    <w:p w14:paraId="7F2C0BE2" w14:textId="57D0D523" w:rsidR="000824D0" w:rsidRDefault="000824D0" w:rsidP="00CF0644"/>
    <w:p w14:paraId="018D7942" w14:textId="2B718EC7" w:rsidR="000824D0" w:rsidRDefault="000824D0" w:rsidP="00CF0644"/>
    <w:p w14:paraId="3E7F2BCE" w14:textId="2FC05611" w:rsidR="000824D0" w:rsidRDefault="000824D0" w:rsidP="00CF0644"/>
    <w:p w14:paraId="00B28C44" w14:textId="77777777" w:rsidR="000824D0" w:rsidRDefault="000824D0" w:rsidP="00CF0644"/>
    <w:p w14:paraId="2A418A5B" w14:textId="77777777" w:rsidR="003757B0" w:rsidRDefault="003757B0" w:rsidP="00140CF6">
      <w:pPr>
        <w:pStyle w:val="Rubrik1"/>
      </w:pPr>
      <w:r>
        <w:lastRenderedPageBreak/>
        <w:t>Källförteckning</w:t>
      </w:r>
    </w:p>
    <w:p w14:paraId="2A37BC5A" w14:textId="680E8117" w:rsidR="003A17EB" w:rsidRDefault="003A17EB" w:rsidP="0020202E"/>
    <w:p w14:paraId="6CBD671F" w14:textId="247B94F6" w:rsidR="003A17EB" w:rsidRDefault="003A17EB" w:rsidP="000A7FFD">
      <w:pPr>
        <w:pStyle w:val="Rubrik2"/>
      </w:pPr>
      <w:r>
        <w:t>Skriftliga källor</w:t>
      </w:r>
    </w:p>
    <w:p w14:paraId="2B735DD6" w14:textId="5A93EC29" w:rsidR="003A17EB" w:rsidRDefault="003A17EB" w:rsidP="003A17EB">
      <w:pPr>
        <w:rPr>
          <w:sz w:val="20"/>
          <w:szCs w:val="20"/>
        </w:rPr>
      </w:pPr>
      <w:r w:rsidRPr="00140CF6">
        <w:rPr>
          <w:sz w:val="20"/>
          <w:szCs w:val="20"/>
        </w:rPr>
        <w:t>Mail från kansliråd Lennart Peck, kansliråd vid Utrikesdepartementet, avdelningen för FN-politik, konfliktfrågor och humanitära frågor, 2020-09-23 samt 2020-09-29</w:t>
      </w:r>
    </w:p>
    <w:p w14:paraId="726985B2" w14:textId="77777777" w:rsidR="00053105" w:rsidRDefault="00053105" w:rsidP="003A17EB">
      <w:pPr>
        <w:rPr>
          <w:sz w:val="20"/>
          <w:szCs w:val="20"/>
        </w:rPr>
      </w:pPr>
    </w:p>
    <w:p w14:paraId="333D92DD" w14:textId="77777777" w:rsidR="00053105" w:rsidRDefault="00053105" w:rsidP="00053105">
      <w:pPr>
        <w:autoSpaceDE w:val="0"/>
        <w:autoSpaceDN w:val="0"/>
        <w:spacing w:after="0" w:line="240" w:lineRule="auto"/>
      </w:pPr>
      <w:r>
        <w:rPr>
          <w:sz w:val="20"/>
          <w:szCs w:val="20"/>
        </w:rPr>
        <w:t>Mail från Elena Bernaldo de Quirós, OECD-DAC sekretariat, 2020-09-29</w:t>
      </w:r>
      <w:bookmarkStart w:id="0" w:name="_GoBack"/>
      <w:bookmarkEnd w:id="0"/>
    </w:p>
    <w:p w14:paraId="16F53A95" w14:textId="77777777" w:rsidR="00053105" w:rsidRDefault="00053105" w:rsidP="003A17EB">
      <w:pPr>
        <w:rPr>
          <w:sz w:val="20"/>
          <w:szCs w:val="20"/>
        </w:rPr>
      </w:pPr>
    </w:p>
    <w:p w14:paraId="2F477087" w14:textId="3DED8CBE" w:rsidR="003A17EB" w:rsidRDefault="003A17EB" w:rsidP="000A7FFD">
      <w:pPr>
        <w:pStyle w:val="Rubrik2"/>
      </w:pPr>
      <w:r>
        <w:t>Webbsidor</w:t>
      </w:r>
    </w:p>
    <w:p w14:paraId="5D3D26FE" w14:textId="1D89AC65" w:rsidR="003A17EB" w:rsidRDefault="003A17EB" w:rsidP="003A17EB">
      <w:pPr>
        <w:rPr>
          <w:lang w:val="en-GB"/>
        </w:rPr>
      </w:pPr>
      <w:proofErr w:type="gramStart"/>
      <w:r w:rsidRPr="000A7FFD">
        <w:rPr>
          <w:sz w:val="20"/>
          <w:szCs w:val="20"/>
          <w:lang w:val="en-GB"/>
        </w:rPr>
        <w:t>OECD:s</w:t>
      </w:r>
      <w:proofErr w:type="gramEnd"/>
      <w:r w:rsidRPr="000A7FFD">
        <w:rPr>
          <w:sz w:val="20"/>
          <w:szCs w:val="20"/>
          <w:lang w:val="en-GB"/>
        </w:rPr>
        <w:t xml:space="preserve"> </w:t>
      </w:r>
      <w:r w:rsidR="00053105">
        <w:rPr>
          <w:sz w:val="20"/>
          <w:szCs w:val="20"/>
          <w:lang w:val="en-GB"/>
        </w:rPr>
        <w:t>statistik</w:t>
      </w:r>
      <w:r w:rsidRPr="000A7FFD">
        <w:rPr>
          <w:sz w:val="20"/>
          <w:szCs w:val="20"/>
          <w:lang w:val="en-GB"/>
        </w:rPr>
        <w:t xml:space="preserve">databas </w:t>
      </w:r>
      <w:hyperlink r:id="rId14" w:history="1">
        <w:r w:rsidRPr="000A7FFD">
          <w:rPr>
            <w:rStyle w:val="Hyperlnk"/>
            <w:lang w:val="en-GB"/>
          </w:rPr>
          <w:t>https://stats.oecd.org/</w:t>
        </w:r>
      </w:hyperlink>
    </w:p>
    <w:p w14:paraId="45A7687F" w14:textId="77777777" w:rsidR="00053105" w:rsidRDefault="00053105" w:rsidP="003A17EB">
      <w:pPr>
        <w:rPr>
          <w:lang w:val="en-GB"/>
        </w:rPr>
      </w:pPr>
    </w:p>
    <w:p w14:paraId="11BE76FF" w14:textId="002F40B3" w:rsidR="000A7FFD" w:rsidRDefault="00053105" w:rsidP="00053105">
      <w:pPr>
        <w:autoSpaceDE w:val="0"/>
        <w:autoSpaceDN w:val="0"/>
        <w:spacing w:after="0" w:line="240" w:lineRule="auto"/>
        <w:rPr>
          <w:sz w:val="20"/>
          <w:szCs w:val="20"/>
        </w:rPr>
      </w:pPr>
      <w:r>
        <w:rPr>
          <w:sz w:val="20"/>
          <w:szCs w:val="20"/>
        </w:rPr>
        <w:t>Svenska FN-förbundet </w:t>
      </w:r>
      <w:hyperlink r:id="rId15" w:history="1">
        <w:r w:rsidR="000A7FFD" w:rsidRPr="00545E0E">
          <w:rPr>
            <w:rStyle w:val="Hyperlnk"/>
            <w:sz w:val="20"/>
            <w:szCs w:val="20"/>
          </w:rPr>
          <w:t>https://fn.se/</w:t>
        </w:r>
      </w:hyperlink>
    </w:p>
    <w:p w14:paraId="09CE6452" w14:textId="6BDCD403" w:rsidR="00053105" w:rsidRDefault="00053105" w:rsidP="00053105">
      <w:pPr>
        <w:autoSpaceDE w:val="0"/>
        <w:autoSpaceDN w:val="0"/>
        <w:spacing w:after="0" w:line="240" w:lineRule="auto"/>
      </w:pPr>
      <w:r>
        <w:rPr>
          <w:rFonts w:ascii="Segoe UI" w:hAnsi="Segoe UI" w:cs="Segoe UI"/>
          <w:color w:val="000000"/>
          <w:sz w:val="20"/>
          <w:szCs w:val="20"/>
        </w:rPr>
        <w:t xml:space="preserve"> </w:t>
      </w:r>
    </w:p>
    <w:p w14:paraId="42D406A6" w14:textId="77777777" w:rsidR="003A17EB" w:rsidRPr="000A7FFD" w:rsidRDefault="003A17EB" w:rsidP="003A17EB">
      <w:pPr>
        <w:rPr>
          <w:sz w:val="20"/>
          <w:szCs w:val="20"/>
          <w:lang w:val="en-GB"/>
        </w:rPr>
      </w:pPr>
    </w:p>
    <w:p w14:paraId="144CA485" w14:textId="5B503498" w:rsidR="003A17EB" w:rsidRPr="000A7FFD" w:rsidRDefault="003A17EB" w:rsidP="003A17EB">
      <w:pPr>
        <w:rPr>
          <w:sz w:val="20"/>
          <w:szCs w:val="20"/>
          <w:lang w:val="en-GB"/>
        </w:rPr>
      </w:pPr>
    </w:p>
    <w:p w14:paraId="2EFE807D" w14:textId="77777777" w:rsidR="003A17EB" w:rsidRPr="000A7FFD" w:rsidRDefault="003A17EB" w:rsidP="003A17EB">
      <w:pPr>
        <w:rPr>
          <w:sz w:val="20"/>
          <w:szCs w:val="20"/>
          <w:lang w:val="en-GB"/>
        </w:rPr>
      </w:pPr>
    </w:p>
    <w:p w14:paraId="340E5CB6" w14:textId="653F0DEA" w:rsidR="003757B0" w:rsidRPr="000A7FFD" w:rsidRDefault="003757B0" w:rsidP="000A7FFD">
      <w:pPr>
        <w:rPr>
          <w:lang w:val="en-GB"/>
        </w:rPr>
      </w:pPr>
    </w:p>
    <w:sectPr w:rsidR="003757B0" w:rsidRPr="000A7FFD" w:rsidSect="001866FE">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3005" w:bottom="851" w:left="1701" w:header="567"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9C75E" w14:textId="77777777" w:rsidR="000D6BC8" w:rsidRDefault="000D6BC8" w:rsidP="00A56189">
      <w:r>
        <w:separator/>
      </w:r>
    </w:p>
  </w:endnote>
  <w:endnote w:type="continuationSeparator" w:id="0">
    <w:p w14:paraId="31318F82" w14:textId="77777777" w:rsidR="000D6BC8" w:rsidRDefault="000D6BC8" w:rsidP="00A56189">
      <w:r>
        <w:continuationSeparator/>
      </w:r>
    </w:p>
  </w:endnote>
  <w:endnote w:type="continuationNotice" w:id="1">
    <w:p w14:paraId="269B6BDF" w14:textId="77777777" w:rsidR="000D6BC8" w:rsidRDefault="000D6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D1DE" w14:textId="77777777" w:rsidR="000D6BC8" w:rsidRDefault="000D6BC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70" w:type="dxa"/>
        <w:right w:w="70" w:type="dxa"/>
      </w:tblCellMar>
      <w:tblLook w:val="0000" w:firstRow="0" w:lastRow="0" w:firstColumn="0" w:lastColumn="0" w:noHBand="0" w:noVBand="0"/>
    </w:tblPr>
    <w:tblGrid>
      <w:gridCol w:w="9426"/>
    </w:tblGrid>
    <w:tr w:rsidR="000D6BC8" w:rsidRPr="002B4F43" w14:paraId="6C5C714F" w14:textId="77777777" w:rsidTr="00E142A4">
      <w:trPr>
        <w:trHeight w:hRule="exact" w:val="1077"/>
      </w:trPr>
      <w:tc>
        <w:tcPr>
          <w:tcW w:w="9426" w:type="dxa"/>
        </w:tcPr>
        <w:p w14:paraId="4742E51D" w14:textId="77777777" w:rsidR="000D6BC8" w:rsidRPr="002B4F43" w:rsidRDefault="000D6BC8" w:rsidP="00E142A4">
          <w:pPr>
            <w:pStyle w:val="NormalKompakt"/>
            <w:spacing w:before="120"/>
            <w:rPr>
              <w:rFonts w:ascii="GillSans Pro for Riksdagen Lt" w:hAnsi="GillSans Pro for Riksdagen Lt"/>
              <w:lang w:val="sv-SE"/>
            </w:rPr>
          </w:pPr>
        </w:p>
      </w:tc>
    </w:tr>
  </w:tbl>
  <w:p w14:paraId="3173D37E" w14:textId="77777777" w:rsidR="000D6BC8" w:rsidRPr="002B4F43" w:rsidRDefault="000D6BC8"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Pr>
        <w:rStyle w:val="Sidnummer"/>
        <w:noProof/>
      </w:rPr>
      <w:t>2</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Pr>
        <w:rStyle w:val="Sidnummer"/>
        <w:noProof/>
      </w:rPr>
      <w:t>1</w:t>
    </w:r>
    <w:r w:rsidRPr="002B4F43">
      <w:rPr>
        <w:rStyle w:val="Sidnummer"/>
      </w:rPr>
      <w:fldChar w:fldCharType="end"/>
    </w:r>
    <w:r w:rsidRPr="002B4F43">
      <w:rPr>
        <w:rStyle w:val="Sidnummer"/>
      </w:rPr>
      <w:t>)</w:t>
    </w:r>
  </w:p>
  <w:p w14:paraId="438562EA" w14:textId="77777777" w:rsidR="000D6BC8" w:rsidRPr="002B4F43" w:rsidRDefault="000D6BC8" w:rsidP="008047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0" w:type="dxa"/>
        <w:right w:w="70" w:type="dxa"/>
      </w:tblCellMar>
      <w:tblLook w:val="0000" w:firstRow="0" w:lastRow="0" w:firstColumn="0" w:lastColumn="0" w:noHBand="0" w:noVBand="0"/>
    </w:tblPr>
    <w:tblGrid>
      <w:gridCol w:w="9426"/>
    </w:tblGrid>
    <w:tr w:rsidR="000D6BC8" w:rsidRPr="00763638" w14:paraId="494F3F12" w14:textId="77777777" w:rsidTr="00E142A4">
      <w:trPr>
        <w:trHeight w:hRule="exact" w:val="964"/>
      </w:trPr>
      <w:tc>
        <w:tcPr>
          <w:tcW w:w="9426" w:type="dxa"/>
        </w:tcPr>
        <w:sdt>
          <w:sdtPr>
            <w:alias w:val="RUT Kontaktuppgifter"/>
            <w:tag w:val="RDF_Rubin_RutKontaktInfo"/>
            <w:id w:val="779454979"/>
            <w:temporary/>
            <w:dataBinding w:xpath="/ns0:properties[1]/documentManagement[1]/ns3:RDF_Rubin_RutKontaktInfo[1]" w:storeItemID="{372EC7C8-69FA-43C4-98C5-99BE863819E2}"/>
            <w:text/>
          </w:sdtPr>
          <w:sdtEndPr/>
          <w:sdtContent>
            <w:p w14:paraId="65911B55" w14:textId="5218E82C" w:rsidR="000D6BC8" w:rsidRPr="004633A8" w:rsidRDefault="000D6BC8" w:rsidP="001866FE">
              <w:pPr>
                <w:pStyle w:val="SidfotBrdtext"/>
                <w:spacing w:before="180"/>
              </w:pPr>
              <w:r>
                <w:t>Sektionen för juridik och statsvetenskap • Utredningstjänsten • Tel. 08-786 40 00 • E-post rut@riksdagen.se</w:t>
              </w:r>
            </w:p>
          </w:sdtContent>
        </w:sdt>
        <w:sdt>
          <w:sdtPr>
            <w:rPr>
              <w:rFonts w:ascii="GillSans Pro for Riksdagen Lt" w:hAnsi="GillSans Pro for Riksdagen Lt"/>
              <w:sz w:val="18"/>
              <w:szCs w:val="18"/>
            </w:rPr>
            <w:alias w:val="Adress"/>
            <w:tag w:val="ccAdress"/>
            <w:id w:val="-117919676"/>
            <w:lock w:val="sdtContentLocked"/>
          </w:sdtPr>
          <w:sdtEndPr/>
          <w:sdtContent>
            <w:p w14:paraId="0AD28544" w14:textId="7A745CD7" w:rsidR="000D6BC8" w:rsidRPr="00E337E7" w:rsidRDefault="000D6BC8" w:rsidP="00283FA3">
              <w:pPr>
                <w:pBdr>
                  <w:top w:val="single" w:sz="4" w:space="3" w:color="auto"/>
                </w:pBdr>
                <w:spacing w:before="100" w:line="220" w:lineRule="exact"/>
              </w:pPr>
              <w:r>
                <w:rPr>
                  <w:rFonts w:ascii="GillSans Pro for Riksdagen Lt" w:hAnsi="GillSans Pro for Riksdagen Lt"/>
                  <w:spacing w:val="12"/>
                  <w:sz w:val="18"/>
                  <w:szCs w:val="18"/>
                </w:rPr>
                <w:t>SVERIGES RIKSDAG   100 12 Stockholm   o   Tfn 08-786 40 00   o   www.riksdagen.se</w:t>
              </w:r>
            </w:p>
          </w:sdtContent>
        </w:sdt>
      </w:tc>
    </w:tr>
  </w:tbl>
  <w:p w14:paraId="00336651" w14:textId="4F24DB55" w:rsidR="000D6BC8" w:rsidRDefault="000D6BC8"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1</w:t>
    </w:r>
    <w:r>
      <w:rPr>
        <w:rStyle w:val="Sidnummer"/>
      </w:rPr>
      <w:fldChar w:fldCharType="end"/>
    </w:r>
    <w:r>
      <w:rPr>
        <w:rStyle w:val="Sidnummer"/>
      </w:rPr>
      <w:t>)</w:t>
    </w:r>
  </w:p>
  <w:p w14:paraId="4EE8DD8F" w14:textId="77777777" w:rsidR="000D6BC8" w:rsidRPr="002B4F43" w:rsidRDefault="000D6BC8" w:rsidP="00A07D21">
    <w:pPr>
      <w:pStyle w:val="Sidfot"/>
      <w:spacing w:after="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D578" w14:textId="77777777" w:rsidR="000D6BC8" w:rsidRPr="009A620E" w:rsidRDefault="000D6BC8" w:rsidP="009A620E">
      <w:pPr>
        <w:pStyle w:val="Sidfot"/>
      </w:pPr>
    </w:p>
  </w:footnote>
  <w:footnote w:type="continuationSeparator" w:id="0">
    <w:p w14:paraId="217C02AF" w14:textId="77777777" w:rsidR="000D6BC8" w:rsidRDefault="000D6BC8" w:rsidP="00A56189">
      <w:r>
        <w:continuationSeparator/>
      </w:r>
    </w:p>
  </w:footnote>
  <w:footnote w:type="continuationNotice" w:id="1">
    <w:p w14:paraId="1A90B1D7" w14:textId="77777777" w:rsidR="000D6BC8" w:rsidRDefault="000D6BC8">
      <w:pPr>
        <w:spacing w:after="0" w:line="240" w:lineRule="auto"/>
      </w:pPr>
    </w:p>
  </w:footnote>
  <w:footnote w:id="2">
    <w:p w14:paraId="4842B6A6" w14:textId="103FFF50" w:rsidR="000D6BC8" w:rsidRDefault="000D6BC8">
      <w:pPr>
        <w:pStyle w:val="Fotnotstext"/>
      </w:pPr>
      <w:r>
        <w:rPr>
          <w:rStyle w:val="Fotnotsreferens"/>
        </w:rPr>
        <w:footnoteRef/>
      </w:r>
      <w:r>
        <w:t xml:space="preserve"> Siffran bygger på inrapporterade uppgifter till OECD.</w:t>
      </w:r>
    </w:p>
  </w:footnote>
  <w:footnote w:id="3">
    <w:p w14:paraId="775E50F5" w14:textId="03CDB586" w:rsidR="000D6BC8" w:rsidRDefault="000D6BC8">
      <w:pPr>
        <w:pStyle w:val="Fotnotstext"/>
      </w:pPr>
      <w:r>
        <w:rPr>
          <w:rStyle w:val="Fotnotsreferens"/>
        </w:rPr>
        <w:footnoteRef/>
      </w:r>
      <w:r>
        <w:t xml:space="preserve"> Mail från kansliråd Lennart Peck, kansliråd vid Utrikesdepartementet, avdelningen för FN-politik, konfliktfrågor och humanitära frågor, 2020-09-23 samt 2020-09-29</w:t>
      </w:r>
    </w:p>
  </w:footnote>
  <w:footnote w:id="4">
    <w:p w14:paraId="2DF07280" w14:textId="7C13F543" w:rsidR="000D6BC8" w:rsidRDefault="000D6BC8">
      <w:pPr>
        <w:pStyle w:val="Fotnotstext"/>
      </w:pPr>
      <w:r>
        <w:rPr>
          <w:rStyle w:val="Fotnotsreferens"/>
        </w:rPr>
        <w:footnoteRef/>
      </w:r>
      <w:r>
        <w:t xml:space="preserve">  Utrikesdepartementet har hämtat uppgifterna från </w:t>
      </w:r>
      <w:r w:rsidRPr="00D307BB">
        <w:t>https://stats.oecd.org/</w:t>
      </w:r>
    </w:p>
  </w:footnote>
  <w:footnote w:id="5">
    <w:p w14:paraId="088A35D7" w14:textId="77777777" w:rsidR="000D6BC8" w:rsidRPr="0067003E" w:rsidRDefault="000D6BC8" w:rsidP="0020202E">
      <w:pPr>
        <w:pStyle w:val="Fotnotstext"/>
      </w:pPr>
      <w:r w:rsidRPr="0067003E">
        <w:rPr>
          <w:rStyle w:val="Fotnotsreferens"/>
        </w:rPr>
        <w:footnoteRef/>
      </w:r>
      <w:r w:rsidRPr="0067003E">
        <w:t xml:space="preserve"> Generalförsamlingen, Säkerhetsrådet, Ekonomiska och sociala rådet, Förvaltarskapsrådet, Internationella domstolen och Sekretariatet.</w:t>
      </w:r>
    </w:p>
  </w:footnote>
  <w:footnote w:id="6">
    <w:p w14:paraId="394024B7" w14:textId="77777777" w:rsidR="000D6BC8" w:rsidRPr="0067003E" w:rsidRDefault="000D6BC8" w:rsidP="0020202E">
      <w:pPr>
        <w:pStyle w:val="Fotnotstext"/>
      </w:pPr>
      <w:r w:rsidRPr="0067003E">
        <w:rPr>
          <w:rStyle w:val="Fotnotsreferens"/>
        </w:rPr>
        <w:footnoteRef/>
      </w:r>
      <w:r w:rsidRPr="0067003E">
        <w:t xml:space="preserve"> För en förteckning över underorgan och fackorgan inom FN-systemet, se FN-förbundet, </w:t>
      </w:r>
      <w:r w:rsidRPr="00E80C35">
        <w:t>FN-systemet</w:t>
      </w:r>
      <w:r>
        <w:t xml:space="preserve">. </w:t>
      </w:r>
    </w:p>
  </w:footnote>
  <w:footnote w:id="7">
    <w:p w14:paraId="389C23A7" w14:textId="04FB67EC" w:rsidR="000D6BC8" w:rsidRDefault="000D6BC8">
      <w:pPr>
        <w:pStyle w:val="Fotnotstext"/>
      </w:pPr>
      <w:r>
        <w:rPr>
          <w:rStyle w:val="Fotnotsreferens"/>
        </w:rPr>
        <w:footnoteRef/>
      </w:r>
      <w:r>
        <w:t xml:space="preserve"> Utrikesdepartementet. E-post från Lennart Peck</w:t>
      </w:r>
      <w:r w:rsidRPr="001027D6">
        <w:t>, kansliråd, UD.</w:t>
      </w:r>
      <w:r>
        <w:t xml:space="preserve"> 2020-09-23 samt 2020-09-29</w:t>
      </w:r>
    </w:p>
  </w:footnote>
  <w:footnote w:id="8">
    <w:p w14:paraId="0E268405" w14:textId="23838DCD" w:rsidR="000D6BC8" w:rsidRDefault="000D6BC8">
      <w:pPr>
        <w:pStyle w:val="Fotnotstext"/>
      </w:pPr>
      <w:r>
        <w:rPr>
          <w:rStyle w:val="Fotnotsreferens"/>
        </w:rPr>
        <w:footnoteRef/>
      </w:r>
      <w:r>
        <w:t xml:space="preserve"> Multi-bi-bidrag kan beskrivas som öronmärkta medel ämnade för ett specifikt ändamål.</w:t>
      </w:r>
    </w:p>
  </w:footnote>
  <w:footnote w:id="9">
    <w:p w14:paraId="298C97C5" w14:textId="59A4DF6D" w:rsidR="000D6BC8" w:rsidRDefault="000D6BC8">
      <w:pPr>
        <w:pStyle w:val="Fotnotstext"/>
      </w:pPr>
      <w:r>
        <w:rPr>
          <w:rStyle w:val="Fotnotsreferens"/>
        </w:rPr>
        <w:footnoteRef/>
      </w:r>
      <w:r>
        <w:t xml:space="preserve"> Kärnstöd kan beskrivas som icke-öronmärkt stöd direkt till organisationernas budget. </w:t>
      </w:r>
    </w:p>
  </w:footnote>
  <w:footnote w:id="10">
    <w:p w14:paraId="4EB89374" w14:textId="28901821" w:rsidR="000D6BC8" w:rsidRPr="00117B2C" w:rsidRDefault="000D6BC8" w:rsidP="00117B2C">
      <w:pPr>
        <w:rPr>
          <w:sz w:val="18"/>
          <w:szCs w:val="18"/>
        </w:rPr>
      </w:pPr>
      <w:r w:rsidRPr="00117B2C">
        <w:rPr>
          <w:rStyle w:val="Fotnotsreferens"/>
          <w:sz w:val="18"/>
          <w:szCs w:val="18"/>
        </w:rPr>
        <w:footnoteRef/>
      </w:r>
      <w:r w:rsidRPr="00117B2C">
        <w:rPr>
          <w:sz w:val="18"/>
          <w:szCs w:val="18"/>
        </w:rPr>
        <w:t xml:space="preserve"> Utfall för Sverige 2019 </w:t>
      </w:r>
      <w:r>
        <w:rPr>
          <w:sz w:val="18"/>
          <w:szCs w:val="18"/>
        </w:rPr>
        <w:t xml:space="preserve">bygger på </w:t>
      </w:r>
      <w:r w:rsidRPr="00117B2C">
        <w:rPr>
          <w:sz w:val="18"/>
          <w:szCs w:val="18"/>
        </w:rPr>
        <w:t>preliminära siffror rapporterade till OECD DAC</w:t>
      </w:r>
      <w:r>
        <w:rPr>
          <w:sz w:val="18"/>
          <w:szCs w:val="18"/>
        </w:rPr>
        <w:t>.</w:t>
      </w:r>
    </w:p>
  </w:footnote>
  <w:footnote w:id="11">
    <w:p w14:paraId="620796DB" w14:textId="24B92D69" w:rsidR="000D6BC8" w:rsidRDefault="000D6BC8">
      <w:pPr>
        <w:pStyle w:val="Fotnotstext"/>
      </w:pPr>
      <w:r>
        <w:rPr>
          <w:rStyle w:val="Fotnotsreferens"/>
        </w:rPr>
        <w:footnoteRef/>
      </w:r>
      <w:r>
        <w:t xml:space="preserve"> </w:t>
      </w:r>
      <w:r w:rsidRPr="00117B2C">
        <w:t>Tabellen utgår från rapporterat utfall till OECD DAC. Korrigering har inte gjorts för utbetalningar som Sverige gjorde 2015 till vissa organisationer avseende 2016 år verksamhet: CERF (520 mnkr), UNDP (470 mnkr), UNHCR (715 mnkr), UNRWA (345 mnkr). Korrigering har inte heller gjorts för utbetalningar som Sverige gjorde 2018 avseende 2019 års verksamhet: CERF (139 mnkr), UNHCR (174 mnkr), UNRWA (94 mnkr), WFP (152 mnkr). Ifall dessa korrigeringar gjordes skulle kärnstödutfallet öka 2016 med 2050 mnkr och utfallet 2015 minska med motsvarande belopp samt kärnstödsutfallet öka 2019 med 559 mnkr och utfallet 2018 minska med motsvarande belopp. Notera även att i tabellen redovisas utfall enligt DAC:s redovisningsprinciper för s.k. skuldsedlar, vilket kan skilja sig från faktiska utbetalningar enskilda år (dessa uppgår till samma belopp över tid).</w:t>
      </w:r>
    </w:p>
  </w:footnote>
  <w:footnote w:id="12">
    <w:p w14:paraId="3E823A16" w14:textId="653D30E8" w:rsidR="000D6BC8" w:rsidRDefault="000D6BC8">
      <w:pPr>
        <w:pStyle w:val="Fotnotstext"/>
      </w:pPr>
      <w:r>
        <w:rPr>
          <w:rStyle w:val="Fotnotsreferens"/>
        </w:rPr>
        <w:footnoteRef/>
      </w:r>
      <w:r>
        <w:t xml:space="preserve"> Mail från kansliråd Lennart Peck, kansliråd vid Utrikesdepartementet, avdelningen för FN-politik, konfliktfrågor och humanitära frågor, 2020-09-23 samt 2020-09-29</w:t>
      </w:r>
    </w:p>
  </w:footnote>
  <w:footnote w:id="13">
    <w:p w14:paraId="5544061B" w14:textId="39851E9F" w:rsidR="000D6BC8" w:rsidRDefault="000D6BC8" w:rsidP="00EA3C14">
      <w:pPr>
        <w:pStyle w:val="Fotnotstext"/>
      </w:pPr>
      <w:r>
        <w:rPr>
          <w:rStyle w:val="Fotnotsreferens"/>
        </w:rPr>
        <w:footnoteRef/>
      </w:r>
      <w:r>
        <w:t xml:space="preserve"> ibid</w:t>
      </w:r>
    </w:p>
  </w:footnote>
  <w:footnote w:id="14">
    <w:p w14:paraId="7F9D5397" w14:textId="4D6F44B5" w:rsidR="000D6BC8" w:rsidRDefault="000D6BC8">
      <w:pPr>
        <w:pStyle w:val="Fotnotstext"/>
      </w:pPr>
      <w:r>
        <w:rPr>
          <w:rStyle w:val="Fotnotsreferens"/>
        </w:rPr>
        <w:footnoteRef/>
      </w:r>
      <w:r>
        <w:t xml:space="preserve"> Utrikesdepartementet har hämtat uppgifterna </w:t>
      </w:r>
      <w:r w:rsidRPr="00D307BB">
        <w:t>https://stats.oecd.org/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8A48" w14:textId="77777777" w:rsidR="000D6BC8" w:rsidRDefault="000D6BC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52E5" w14:textId="77777777" w:rsidR="000D6BC8" w:rsidRDefault="000D6BC8" w:rsidP="00B5535C">
    <w:pPr>
      <w:framePr w:w="9780" w:hSpace="142" w:wrap="around" w:vAnchor="page" w:hAnchor="page" w:x="1560" w:y="725"/>
      <w:spacing w:line="240" w:lineRule="auto"/>
      <w:ind w:right="275"/>
      <w:jc w:val="right"/>
      <w:rPr>
        <w:sz w:val="4"/>
      </w:rPr>
    </w:pPr>
    <w:r>
      <w:rPr>
        <w:noProof/>
      </w:rPr>
      <w:drawing>
        <wp:inline distT="0" distB="0" distL="0" distR="0" wp14:anchorId="10E45F6A" wp14:editId="242D1923">
          <wp:extent cx="1152525" cy="304800"/>
          <wp:effectExtent l="0" t="0" r="9525"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78761EB0" w14:textId="77777777" w:rsidR="000D6BC8" w:rsidRDefault="000D6BC8" w:rsidP="008236F3">
    <w:pPr>
      <w:framePr w:hSpace="142" w:wrap="around" w:vAnchor="page" w:hAnchor="page" w:x="9255" w:y="725"/>
      <w:spacing w:line="240" w:lineRule="auto"/>
      <w:rPr>
        <w:sz w:val="4"/>
      </w:rPr>
    </w:pPr>
  </w:p>
  <w:p w14:paraId="66843DBF" w14:textId="77777777" w:rsidR="000D6BC8" w:rsidRPr="00810759" w:rsidRDefault="000D6BC8" w:rsidP="00CF25D1">
    <w:pPr>
      <w:pStyle w:val="NormalKompakt"/>
    </w:pPr>
  </w:p>
  <w:p w14:paraId="7A41B34E" w14:textId="77777777" w:rsidR="000D6BC8" w:rsidRDefault="000D6BC8" w:rsidP="00CF25D1">
    <w:pPr>
      <w:pStyle w:val="NormalKompakt"/>
    </w:pPr>
  </w:p>
  <w:p w14:paraId="4588BF41" w14:textId="77777777" w:rsidR="000D6BC8" w:rsidRDefault="000D6BC8" w:rsidP="00CF25D1">
    <w:pPr>
      <w:pStyle w:val="NormalKompakt"/>
    </w:pPr>
  </w:p>
  <w:p w14:paraId="2A1E0DA3" w14:textId="77777777" w:rsidR="000D6BC8" w:rsidRDefault="000D6BC8" w:rsidP="00CF25D1">
    <w:pPr>
      <w:pStyle w:val="NormalKompakt"/>
    </w:pPr>
  </w:p>
  <w:p w14:paraId="5DFDE4B4" w14:textId="77777777" w:rsidR="000D6BC8" w:rsidRDefault="000D6BC8" w:rsidP="00666060">
    <w:pPr>
      <w:pStyle w:val="NormalKompakt"/>
    </w:pPr>
  </w:p>
  <w:p w14:paraId="703BB9F6" w14:textId="77777777" w:rsidR="000D6BC8" w:rsidRDefault="000D6BC8" w:rsidP="00666060">
    <w:pPr>
      <w:pStyle w:val="NormalKompak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8AB5" w14:textId="77777777" w:rsidR="000D6BC8" w:rsidRDefault="000D6BC8" w:rsidP="0001475F">
    <w:pPr>
      <w:pStyle w:val="logo"/>
      <w:framePr w:w="9499" w:wrap="around" w:x="1701" w:y="727"/>
      <w:ind w:firstLine="142"/>
      <w:jc w:val="right"/>
    </w:pPr>
    <w:r>
      <w:rPr>
        <w:noProof/>
      </w:rPr>
      <w:drawing>
        <wp:inline distT="0" distB="0" distL="0" distR="0" wp14:anchorId="712A0CF5" wp14:editId="75400A83">
          <wp:extent cx="1357200" cy="360000"/>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ksdagen.JPG"/>
                  <pic:cNvPicPr/>
                </pic:nvPicPr>
                <pic:blipFill>
                  <a:blip r:embed="rId1">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p w14:paraId="0D6B118E" w14:textId="77777777" w:rsidR="000D6BC8" w:rsidRDefault="000D6BC8"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0D6BC8" w14:paraId="47D901DE" w14:textId="77777777" w:rsidTr="00E337E7">
      <w:trPr>
        <w:trHeight w:val="1531"/>
      </w:trPr>
      <w:tc>
        <w:tcPr>
          <w:tcW w:w="7230" w:type="dxa"/>
        </w:tcPr>
        <w:p w14:paraId="5F8D3938" w14:textId="77777777" w:rsidR="000D6BC8" w:rsidRDefault="000D6BC8" w:rsidP="00242F51">
          <w:pPr>
            <w:jc w:val="right"/>
          </w:pPr>
        </w:p>
      </w:tc>
    </w:tr>
  </w:tbl>
  <w:p w14:paraId="6B298A65" w14:textId="77777777" w:rsidR="000D6BC8" w:rsidRDefault="000D6BC8" w:rsidP="00646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A6D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F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E0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6AB8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748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02F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F0E90"/>
    <w:multiLevelType w:val="hybridMultilevel"/>
    <w:tmpl w:val="FFD2DD12"/>
    <w:lvl w:ilvl="0" w:tplc="2A349B94">
      <w:start w:val="7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1551A"/>
    <w:multiLevelType w:val="multilevel"/>
    <w:tmpl w:val="1034F1B6"/>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21" w15:restartNumberingAfterBreak="0">
    <w:nsid w:val="543714DB"/>
    <w:multiLevelType w:val="hybridMultilevel"/>
    <w:tmpl w:val="A3822584"/>
    <w:lvl w:ilvl="0" w:tplc="BFA2263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5"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9"/>
  </w:num>
  <w:num w:numId="13">
    <w:abstractNumId w:val="26"/>
  </w:num>
  <w:num w:numId="14">
    <w:abstractNumId w:val="17"/>
  </w:num>
  <w:num w:numId="15">
    <w:abstractNumId w:val="23"/>
  </w:num>
  <w:num w:numId="16">
    <w:abstractNumId w:val="18"/>
  </w:num>
  <w:num w:numId="17">
    <w:abstractNumId w:val="15"/>
  </w:num>
  <w:num w:numId="18">
    <w:abstractNumId w:val="14"/>
  </w:num>
  <w:num w:numId="19">
    <w:abstractNumId w:val="16"/>
  </w:num>
  <w:num w:numId="20">
    <w:abstractNumId w:val="12"/>
  </w:num>
  <w:num w:numId="21">
    <w:abstractNumId w:val="22"/>
  </w:num>
  <w:num w:numId="22">
    <w:abstractNumId w:val="10"/>
  </w:num>
  <w:num w:numId="23">
    <w:abstractNumId w:val="25"/>
  </w:num>
  <w:num w:numId="24">
    <w:abstractNumId w:val="24"/>
  </w:num>
  <w:num w:numId="25">
    <w:abstractNumId w:val="21"/>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Färg" w:val=" "/>
  </w:docVars>
  <w:rsids>
    <w:rsidRoot w:val="0061501B"/>
    <w:rsid w:val="000046DD"/>
    <w:rsid w:val="00006FDD"/>
    <w:rsid w:val="00010107"/>
    <w:rsid w:val="000103A1"/>
    <w:rsid w:val="000136D6"/>
    <w:rsid w:val="00013EE2"/>
    <w:rsid w:val="0001475F"/>
    <w:rsid w:val="00014B94"/>
    <w:rsid w:val="00017C7D"/>
    <w:rsid w:val="00017E58"/>
    <w:rsid w:val="00021B02"/>
    <w:rsid w:val="000228A5"/>
    <w:rsid w:val="000244B6"/>
    <w:rsid w:val="00025C72"/>
    <w:rsid w:val="00026AC8"/>
    <w:rsid w:val="00030944"/>
    <w:rsid w:val="0003283A"/>
    <w:rsid w:val="00035589"/>
    <w:rsid w:val="00037199"/>
    <w:rsid w:val="00042019"/>
    <w:rsid w:val="0004206F"/>
    <w:rsid w:val="000441AD"/>
    <w:rsid w:val="00044D40"/>
    <w:rsid w:val="000475F1"/>
    <w:rsid w:val="00050417"/>
    <w:rsid w:val="00050843"/>
    <w:rsid w:val="0005184C"/>
    <w:rsid w:val="00053105"/>
    <w:rsid w:val="00057894"/>
    <w:rsid w:val="0006222D"/>
    <w:rsid w:val="00065C00"/>
    <w:rsid w:val="000668F3"/>
    <w:rsid w:val="00066C6A"/>
    <w:rsid w:val="00070E71"/>
    <w:rsid w:val="00071FF0"/>
    <w:rsid w:val="0007271C"/>
    <w:rsid w:val="00073A8F"/>
    <w:rsid w:val="000824D0"/>
    <w:rsid w:val="00082AF0"/>
    <w:rsid w:val="00084818"/>
    <w:rsid w:val="00086A1F"/>
    <w:rsid w:val="0008779F"/>
    <w:rsid w:val="00094025"/>
    <w:rsid w:val="00094E1F"/>
    <w:rsid w:val="00094E52"/>
    <w:rsid w:val="00095C3B"/>
    <w:rsid w:val="00096F43"/>
    <w:rsid w:val="00097F10"/>
    <w:rsid w:val="000A01CE"/>
    <w:rsid w:val="000A1FD1"/>
    <w:rsid w:val="000A3BEC"/>
    <w:rsid w:val="000A4E68"/>
    <w:rsid w:val="000A6F74"/>
    <w:rsid w:val="000A7D99"/>
    <w:rsid w:val="000A7FFD"/>
    <w:rsid w:val="000B04E9"/>
    <w:rsid w:val="000B4314"/>
    <w:rsid w:val="000C0E8B"/>
    <w:rsid w:val="000C2EEA"/>
    <w:rsid w:val="000C2F8C"/>
    <w:rsid w:val="000C3B94"/>
    <w:rsid w:val="000C70D7"/>
    <w:rsid w:val="000D1D3C"/>
    <w:rsid w:val="000D57AD"/>
    <w:rsid w:val="000D689F"/>
    <w:rsid w:val="000D6BC8"/>
    <w:rsid w:val="000E039B"/>
    <w:rsid w:val="000E0460"/>
    <w:rsid w:val="000E2009"/>
    <w:rsid w:val="000E2903"/>
    <w:rsid w:val="000E4165"/>
    <w:rsid w:val="000E57F3"/>
    <w:rsid w:val="000E7CCD"/>
    <w:rsid w:val="000F13CE"/>
    <w:rsid w:val="000F60E2"/>
    <w:rsid w:val="001014AE"/>
    <w:rsid w:val="001027D6"/>
    <w:rsid w:val="001049C5"/>
    <w:rsid w:val="00105C18"/>
    <w:rsid w:val="00107C81"/>
    <w:rsid w:val="00112E6B"/>
    <w:rsid w:val="00117B2C"/>
    <w:rsid w:val="00120F5D"/>
    <w:rsid w:val="001220B3"/>
    <w:rsid w:val="00122859"/>
    <w:rsid w:val="001263D1"/>
    <w:rsid w:val="00130738"/>
    <w:rsid w:val="001310AD"/>
    <w:rsid w:val="00131354"/>
    <w:rsid w:val="00136A8D"/>
    <w:rsid w:val="00140CF6"/>
    <w:rsid w:val="00143194"/>
    <w:rsid w:val="001435F8"/>
    <w:rsid w:val="00143BD0"/>
    <w:rsid w:val="00144393"/>
    <w:rsid w:val="00144676"/>
    <w:rsid w:val="001471A0"/>
    <w:rsid w:val="00152B5D"/>
    <w:rsid w:val="001536CB"/>
    <w:rsid w:val="0015385F"/>
    <w:rsid w:val="00153F30"/>
    <w:rsid w:val="001565C8"/>
    <w:rsid w:val="00156DF8"/>
    <w:rsid w:val="0015753F"/>
    <w:rsid w:val="00160B4B"/>
    <w:rsid w:val="00161F00"/>
    <w:rsid w:val="00162DBF"/>
    <w:rsid w:val="00163E3A"/>
    <w:rsid w:val="00166508"/>
    <w:rsid w:val="00173C5D"/>
    <w:rsid w:val="00183236"/>
    <w:rsid w:val="00185268"/>
    <w:rsid w:val="00185D9F"/>
    <w:rsid w:val="001866FE"/>
    <w:rsid w:val="00187307"/>
    <w:rsid w:val="00192D51"/>
    <w:rsid w:val="00193322"/>
    <w:rsid w:val="0019385A"/>
    <w:rsid w:val="001939E1"/>
    <w:rsid w:val="001961FE"/>
    <w:rsid w:val="001A25B0"/>
    <w:rsid w:val="001A35DC"/>
    <w:rsid w:val="001A3FBC"/>
    <w:rsid w:val="001B032A"/>
    <w:rsid w:val="001B4F3D"/>
    <w:rsid w:val="001B57B3"/>
    <w:rsid w:val="001B6778"/>
    <w:rsid w:val="001B6909"/>
    <w:rsid w:val="001C7DCC"/>
    <w:rsid w:val="001D025A"/>
    <w:rsid w:val="001D14EC"/>
    <w:rsid w:val="001D1A16"/>
    <w:rsid w:val="001D1E7D"/>
    <w:rsid w:val="001D3F71"/>
    <w:rsid w:val="001D4817"/>
    <w:rsid w:val="001D5A83"/>
    <w:rsid w:val="001D64C1"/>
    <w:rsid w:val="001D75A1"/>
    <w:rsid w:val="001E2A76"/>
    <w:rsid w:val="001E5949"/>
    <w:rsid w:val="001E6421"/>
    <w:rsid w:val="001E6EB4"/>
    <w:rsid w:val="001E6F45"/>
    <w:rsid w:val="001F4AF3"/>
    <w:rsid w:val="001F5A6C"/>
    <w:rsid w:val="0020202E"/>
    <w:rsid w:val="00202E1E"/>
    <w:rsid w:val="00204F59"/>
    <w:rsid w:val="00210CF6"/>
    <w:rsid w:val="00213DFE"/>
    <w:rsid w:val="00213E65"/>
    <w:rsid w:val="0021418A"/>
    <w:rsid w:val="00221257"/>
    <w:rsid w:val="00223D66"/>
    <w:rsid w:val="0022432D"/>
    <w:rsid w:val="002263CE"/>
    <w:rsid w:val="00227CBA"/>
    <w:rsid w:val="00241857"/>
    <w:rsid w:val="00242F51"/>
    <w:rsid w:val="002451C3"/>
    <w:rsid w:val="00246ACC"/>
    <w:rsid w:val="00250F4C"/>
    <w:rsid w:val="002523E2"/>
    <w:rsid w:val="00253092"/>
    <w:rsid w:val="00254B93"/>
    <w:rsid w:val="00255DD1"/>
    <w:rsid w:val="00257937"/>
    <w:rsid w:val="00260E49"/>
    <w:rsid w:val="00266674"/>
    <w:rsid w:val="00267E81"/>
    <w:rsid w:val="00273966"/>
    <w:rsid w:val="0027574C"/>
    <w:rsid w:val="00277D4B"/>
    <w:rsid w:val="002823FB"/>
    <w:rsid w:val="00282F2A"/>
    <w:rsid w:val="00283FA3"/>
    <w:rsid w:val="002856EE"/>
    <w:rsid w:val="00291258"/>
    <w:rsid w:val="00291F8F"/>
    <w:rsid w:val="00292BDD"/>
    <w:rsid w:val="002935C4"/>
    <w:rsid w:val="00293865"/>
    <w:rsid w:val="002941A8"/>
    <w:rsid w:val="00294379"/>
    <w:rsid w:val="002A2DB3"/>
    <w:rsid w:val="002A344C"/>
    <w:rsid w:val="002B4AED"/>
    <w:rsid w:val="002B4EDE"/>
    <w:rsid w:val="002B4F43"/>
    <w:rsid w:val="002C05B1"/>
    <w:rsid w:val="002C2ABC"/>
    <w:rsid w:val="002C4D94"/>
    <w:rsid w:val="002C57A8"/>
    <w:rsid w:val="002D0BE3"/>
    <w:rsid w:val="002D2F13"/>
    <w:rsid w:val="002D4B32"/>
    <w:rsid w:val="002D63D1"/>
    <w:rsid w:val="002D6B02"/>
    <w:rsid w:val="002D774F"/>
    <w:rsid w:val="002E18A5"/>
    <w:rsid w:val="002E3117"/>
    <w:rsid w:val="002E6224"/>
    <w:rsid w:val="002E7B2A"/>
    <w:rsid w:val="002F0927"/>
    <w:rsid w:val="002F2920"/>
    <w:rsid w:val="002F39FA"/>
    <w:rsid w:val="002F4431"/>
    <w:rsid w:val="002F4896"/>
    <w:rsid w:val="002F60CA"/>
    <w:rsid w:val="002F644E"/>
    <w:rsid w:val="003000CB"/>
    <w:rsid w:val="00301D1E"/>
    <w:rsid w:val="003031AF"/>
    <w:rsid w:val="00307AD4"/>
    <w:rsid w:val="00310B5B"/>
    <w:rsid w:val="00310CCB"/>
    <w:rsid w:val="0031479B"/>
    <w:rsid w:val="00314936"/>
    <w:rsid w:val="00317954"/>
    <w:rsid w:val="00320BE1"/>
    <w:rsid w:val="00323020"/>
    <w:rsid w:val="003267DA"/>
    <w:rsid w:val="00327205"/>
    <w:rsid w:val="00330C90"/>
    <w:rsid w:val="003314E1"/>
    <w:rsid w:val="00332645"/>
    <w:rsid w:val="00333148"/>
    <w:rsid w:val="00335CB0"/>
    <w:rsid w:val="00342223"/>
    <w:rsid w:val="00345080"/>
    <w:rsid w:val="00347138"/>
    <w:rsid w:val="00351013"/>
    <w:rsid w:val="003544C9"/>
    <w:rsid w:val="00354892"/>
    <w:rsid w:val="0035564B"/>
    <w:rsid w:val="00356808"/>
    <w:rsid w:val="00360DCB"/>
    <w:rsid w:val="00361D5C"/>
    <w:rsid w:val="00366A8A"/>
    <w:rsid w:val="00367846"/>
    <w:rsid w:val="00373590"/>
    <w:rsid w:val="0037410D"/>
    <w:rsid w:val="00374407"/>
    <w:rsid w:val="003757B0"/>
    <w:rsid w:val="00383A06"/>
    <w:rsid w:val="00384FBE"/>
    <w:rsid w:val="0038684B"/>
    <w:rsid w:val="003969B4"/>
    <w:rsid w:val="003A13E2"/>
    <w:rsid w:val="003A17EB"/>
    <w:rsid w:val="003A1B07"/>
    <w:rsid w:val="003A2FEE"/>
    <w:rsid w:val="003A4BCC"/>
    <w:rsid w:val="003A4E01"/>
    <w:rsid w:val="003A5E84"/>
    <w:rsid w:val="003A5EB6"/>
    <w:rsid w:val="003B51BA"/>
    <w:rsid w:val="003C20B2"/>
    <w:rsid w:val="003C3878"/>
    <w:rsid w:val="003C6FAB"/>
    <w:rsid w:val="003C78BF"/>
    <w:rsid w:val="003D1399"/>
    <w:rsid w:val="003D1578"/>
    <w:rsid w:val="003D2408"/>
    <w:rsid w:val="003D5DE0"/>
    <w:rsid w:val="003E16CE"/>
    <w:rsid w:val="003E2A3B"/>
    <w:rsid w:val="003E3082"/>
    <w:rsid w:val="003E332E"/>
    <w:rsid w:val="003E38FF"/>
    <w:rsid w:val="003F0EB2"/>
    <w:rsid w:val="003F24D1"/>
    <w:rsid w:val="003F3DAA"/>
    <w:rsid w:val="003F6263"/>
    <w:rsid w:val="003F72A8"/>
    <w:rsid w:val="004010A9"/>
    <w:rsid w:val="0040795B"/>
    <w:rsid w:val="004146C6"/>
    <w:rsid w:val="00415217"/>
    <w:rsid w:val="004169AA"/>
    <w:rsid w:val="004170D9"/>
    <w:rsid w:val="00422861"/>
    <w:rsid w:val="00424579"/>
    <w:rsid w:val="00425E02"/>
    <w:rsid w:val="00426A32"/>
    <w:rsid w:val="00426B08"/>
    <w:rsid w:val="00427777"/>
    <w:rsid w:val="004317CE"/>
    <w:rsid w:val="00433FE4"/>
    <w:rsid w:val="00434A20"/>
    <w:rsid w:val="00434ACB"/>
    <w:rsid w:val="00436FFF"/>
    <w:rsid w:val="0043711B"/>
    <w:rsid w:val="004408BA"/>
    <w:rsid w:val="004415D9"/>
    <w:rsid w:val="00445B2C"/>
    <w:rsid w:val="00447CB3"/>
    <w:rsid w:val="00452324"/>
    <w:rsid w:val="00452F56"/>
    <w:rsid w:val="004546AB"/>
    <w:rsid w:val="00454C8A"/>
    <w:rsid w:val="00457AE1"/>
    <w:rsid w:val="0046086C"/>
    <w:rsid w:val="00461351"/>
    <w:rsid w:val="00462902"/>
    <w:rsid w:val="004633A8"/>
    <w:rsid w:val="004674FC"/>
    <w:rsid w:val="004728AD"/>
    <w:rsid w:val="00472C2B"/>
    <w:rsid w:val="0047773F"/>
    <w:rsid w:val="004836E2"/>
    <w:rsid w:val="0048472E"/>
    <w:rsid w:val="00486387"/>
    <w:rsid w:val="0049317D"/>
    <w:rsid w:val="0049451E"/>
    <w:rsid w:val="00494C11"/>
    <w:rsid w:val="00494EEE"/>
    <w:rsid w:val="004A0FAA"/>
    <w:rsid w:val="004A1441"/>
    <w:rsid w:val="004A3237"/>
    <w:rsid w:val="004A4562"/>
    <w:rsid w:val="004A73D4"/>
    <w:rsid w:val="004B7222"/>
    <w:rsid w:val="004C230C"/>
    <w:rsid w:val="004C2450"/>
    <w:rsid w:val="004D0EC4"/>
    <w:rsid w:val="004D1DE2"/>
    <w:rsid w:val="004D759A"/>
    <w:rsid w:val="004E1532"/>
    <w:rsid w:val="004E2B6D"/>
    <w:rsid w:val="004E3961"/>
    <w:rsid w:val="004E66F8"/>
    <w:rsid w:val="004F0B43"/>
    <w:rsid w:val="004F3BF1"/>
    <w:rsid w:val="004F5F02"/>
    <w:rsid w:val="004F72CD"/>
    <w:rsid w:val="005063F1"/>
    <w:rsid w:val="00506F1C"/>
    <w:rsid w:val="0051005C"/>
    <w:rsid w:val="0051270F"/>
    <w:rsid w:val="0051338E"/>
    <w:rsid w:val="00513E57"/>
    <w:rsid w:val="00514E1B"/>
    <w:rsid w:val="00515549"/>
    <w:rsid w:val="00516137"/>
    <w:rsid w:val="00516B07"/>
    <w:rsid w:val="005203A6"/>
    <w:rsid w:val="00521842"/>
    <w:rsid w:val="00522E29"/>
    <w:rsid w:val="0052460B"/>
    <w:rsid w:val="00524766"/>
    <w:rsid w:val="00527427"/>
    <w:rsid w:val="00527FAA"/>
    <w:rsid w:val="00531EFE"/>
    <w:rsid w:val="005373BE"/>
    <w:rsid w:val="00540A6F"/>
    <w:rsid w:val="00540BC4"/>
    <w:rsid w:val="0054224B"/>
    <w:rsid w:val="00542BC3"/>
    <w:rsid w:val="0054387D"/>
    <w:rsid w:val="005444B3"/>
    <w:rsid w:val="0054559A"/>
    <w:rsid w:val="00546A9C"/>
    <w:rsid w:val="00550B36"/>
    <w:rsid w:val="00552D66"/>
    <w:rsid w:val="00553050"/>
    <w:rsid w:val="00553FF8"/>
    <w:rsid w:val="00554E9A"/>
    <w:rsid w:val="00556F01"/>
    <w:rsid w:val="00557E95"/>
    <w:rsid w:val="00562C30"/>
    <w:rsid w:val="00563ADD"/>
    <w:rsid w:val="0056553D"/>
    <w:rsid w:val="0056606D"/>
    <w:rsid w:val="00574C43"/>
    <w:rsid w:val="005754BE"/>
    <w:rsid w:val="0058297F"/>
    <w:rsid w:val="005841A5"/>
    <w:rsid w:val="00586247"/>
    <w:rsid w:val="00591132"/>
    <w:rsid w:val="005929C7"/>
    <w:rsid w:val="00592BDC"/>
    <w:rsid w:val="00594058"/>
    <w:rsid w:val="00594245"/>
    <w:rsid w:val="00594D10"/>
    <w:rsid w:val="00596ED0"/>
    <w:rsid w:val="00596F4D"/>
    <w:rsid w:val="005A050E"/>
    <w:rsid w:val="005A07E8"/>
    <w:rsid w:val="005A40D1"/>
    <w:rsid w:val="005A6195"/>
    <w:rsid w:val="005A78B1"/>
    <w:rsid w:val="005B1A6C"/>
    <w:rsid w:val="005B2B1C"/>
    <w:rsid w:val="005B3086"/>
    <w:rsid w:val="005B31CD"/>
    <w:rsid w:val="005B4F14"/>
    <w:rsid w:val="005B641F"/>
    <w:rsid w:val="005C0669"/>
    <w:rsid w:val="005C17AE"/>
    <w:rsid w:val="005D07A0"/>
    <w:rsid w:val="005D1EEB"/>
    <w:rsid w:val="005D61C2"/>
    <w:rsid w:val="005E54EB"/>
    <w:rsid w:val="005E5D6C"/>
    <w:rsid w:val="005E5FD3"/>
    <w:rsid w:val="005F4C2D"/>
    <w:rsid w:val="006004CE"/>
    <w:rsid w:val="00601476"/>
    <w:rsid w:val="006056C5"/>
    <w:rsid w:val="00607411"/>
    <w:rsid w:val="00607502"/>
    <w:rsid w:val="00607C8B"/>
    <w:rsid w:val="006111BD"/>
    <w:rsid w:val="00611ED3"/>
    <w:rsid w:val="006139CF"/>
    <w:rsid w:val="0061501B"/>
    <w:rsid w:val="00616FC4"/>
    <w:rsid w:val="00617562"/>
    <w:rsid w:val="00624848"/>
    <w:rsid w:val="00624A0D"/>
    <w:rsid w:val="006263F6"/>
    <w:rsid w:val="00630879"/>
    <w:rsid w:val="00631438"/>
    <w:rsid w:val="00633AC5"/>
    <w:rsid w:val="006366F5"/>
    <w:rsid w:val="00636DEB"/>
    <w:rsid w:val="0063729F"/>
    <w:rsid w:val="00637C69"/>
    <w:rsid w:val="00640281"/>
    <w:rsid w:val="00640E2A"/>
    <w:rsid w:val="00643D4F"/>
    <w:rsid w:val="006460AA"/>
    <w:rsid w:val="006465CA"/>
    <w:rsid w:val="00650DD1"/>
    <w:rsid w:val="006536E6"/>
    <w:rsid w:val="00653E71"/>
    <w:rsid w:val="00654972"/>
    <w:rsid w:val="006564A1"/>
    <w:rsid w:val="00657334"/>
    <w:rsid w:val="00657924"/>
    <w:rsid w:val="00657A70"/>
    <w:rsid w:val="00661DA4"/>
    <w:rsid w:val="00665444"/>
    <w:rsid w:val="00666060"/>
    <w:rsid w:val="006665AC"/>
    <w:rsid w:val="006667F3"/>
    <w:rsid w:val="00666B8E"/>
    <w:rsid w:val="006721FB"/>
    <w:rsid w:val="0068061D"/>
    <w:rsid w:val="00680B20"/>
    <w:rsid w:val="00683AB6"/>
    <w:rsid w:val="0068413A"/>
    <w:rsid w:val="0068435E"/>
    <w:rsid w:val="00684C62"/>
    <w:rsid w:val="00685C05"/>
    <w:rsid w:val="006863C5"/>
    <w:rsid w:val="006874DE"/>
    <w:rsid w:val="00687E23"/>
    <w:rsid w:val="0069358C"/>
    <w:rsid w:val="00697948"/>
    <w:rsid w:val="006A0276"/>
    <w:rsid w:val="006A1E68"/>
    <w:rsid w:val="006A1E73"/>
    <w:rsid w:val="006A1EDB"/>
    <w:rsid w:val="006A2685"/>
    <w:rsid w:val="006A4DC6"/>
    <w:rsid w:val="006A4E1A"/>
    <w:rsid w:val="006A5E1C"/>
    <w:rsid w:val="006B1181"/>
    <w:rsid w:val="006B2EBA"/>
    <w:rsid w:val="006B3DD6"/>
    <w:rsid w:val="006B4206"/>
    <w:rsid w:val="006B48A5"/>
    <w:rsid w:val="006B5EA5"/>
    <w:rsid w:val="006C4E29"/>
    <w:rsid w:val="006C69FA"/>
    <w:rsid w:val="006C7C08"/>
    <w:rsid w:val="006D302D"/>
    <w:rsid w:val="006D69C8"/>
    <w:rsid w:val="006E1096"/>
    <w:rsid w:val="006E36B0"/>
    <w:rsid w:val="006E468D"/>
    <w:rsid w:val="006E5239"/>
    <w:rsid w:val="006E5468"/>
    <w:rsid w:val="006E6ADD"/>
    <w:rsid w:val="006F0010"/>
    <w:rsid w:val="006F0DF5"/>
    <w:rsid w:val="006F3666"/>
    <w:rsid w:val="006F395E"/>
    <w:rsid w:val="006F3EAB"/>
    <w:rsid w:val="006F4C42"/>
    <w:rsid w:val="006F5827"/>
    <w:rsid w:val="006F66CD"/>
    <w:rsid w:val="006F696B"/>
    <w:rsid w:val="006F6C65"/>
    <w:rsid w:val="00700D57"/>
    <w:rsid w:val="00706036"/>
    <w:rsid w:val="00706053"/>
    <w:rsid w:val="0071190A"/>
    <w:rsid w:val="00713077"/>
    <w:rsid w:val="00715EE5"/>
    <w:rsid w:val="007200A8"/>
    <w:rsid w:val="00720D99"/>
    <w:rsid w:val="00721EF5"/>
    <w:rsid w:val="0072296E"/>
    <w:rsid w:val="0072315B"/>
    <w:rsid w:val="00724A21"/>
    <w:rsid w:val="00724F30"/>
    <w:rsid w:val="007266A8"/>
    <w:rsid w:val="00731681"/>
    <w:rsid w:val="00731D7A"/>
    <w:rsid w:val="00732AAE"/>
    <w:rsid w:val="00733F1E"/>
    <w:rsid w:val="007341BE"/>
    <w:rsid w:val="00737A35"/>
    <w:rsid w:val="00740191"/>
    <w:rsid w:val="00740BB6"/>
    <w:rsid w:val="00740FD8"/>
    <w:rsid w:val="00742542"/>
    <w:rsid w:val="007455A3"/>
    <w:rsid w:val="00745AA6"/>
    <w:rsid w:val="00750FD7"/>
    <w:rsid w:val="0075421C"/>
    <w:rsid w:val="007543E7"/>
    <w:rsid w:val="00757213"/>
    <w:rsid w:val="00757695"/>
    <w:rsid w:val="00761833"/>
    <w:rsid w:val="00762578"/>
    <w:rsid w:val="00762EF4"/>
    <w:rsid w:val="00763638"/>
    <w:rsid w:val="00763D97"/>
    <w:rsid w:val="00766347"/>
    <w:rsid w:val="00766627"/>
    <w:rsid w:val="00766976"/>
    <w:rsid w:val="007671DD"/>
    <w:rsid w:val="00772788"/>
    <w:rsid w:val="00773B9E"/>
    <w:rsid w:val="007A3700"/>
    <w:rsid w:val="007A3D56"/>
    <w:rsid w:val="007A42ED"/>
    <w:rsid w:val="007A447C"/>
    <w:rsid w:val="007A4598"/>
    <w:rsid w:val="007A617E"/>
    <w:rsid w:val="007A6951"/>
    <w:rsid w:val="007A7102"/>
    <w:rsid w:val="007B5614"/>
    <w:rsid w:val="007C2AF2"/>
    <w:rsid w:val="007C5296"/>
    <w:rsid w:val="007D0471"/>
    <w:rsid w:val="007D3A16"/>
    <w:rsid w:val="007D55D0"/>
    <w:rsid w:val="007D6959"/>
    <w:rsid w:val="007E06AC"/>
    <w:rsid w:val="007E5BA3"/>
    <w:rsid w:val="007E6746"/>
    <w:rsid w:val="007F498A"/>
    <w:rsid w:val="007F6059"/>
    <w:rsid w:val="007F63E0"/>
    <w:rsid w:val="00804702"/>
    <w:rsid w:val="00804A41"/>
    <w:rsid w:val="00810759"/>
    <w:rsid w:val="008108E8"/>
    <w:rsid w:val="008153E6"/>
    <w:rsid w:val="008236F3"/>
    <w:rsid w:val="00823BCE"/>
    <w:rsid w:val="00824B4C"/>
    <w:rsid w:val="00824FD1"/>
    <w:rsid w:val="008250E0"/>
    <w:rsid w:val="0082549D"/>
    <w:rsid w:val="00826A50"/>
    <w:rsid w:val="008316A6"/>
    <w:rsid w:val="0083183D"/>
    <w:rsid w:val="0083504D"/>
    <w:rsid w:val="0084232C"/>
    <w:rsid w:val="008446F9"/>
    <w:rsid w:val="00847D1B"/>
    <w:rsid w:val="0085313D"/>
    <w:rsid w:val="008568D3"/>
    <w:rsid w:val="0085704F"/>
    <w:rsid w:val="0085711B"/>
    <w:rsid w:val="0086070D"/>
    <w:rsid w:val="00861731"/>
    <w:rsid w:val="0086199E"/>
    <w:rsid w:val="00866E6F"/>
    <w:rsid w:val="00870289"/>
    <w:rsid w:val="00872180"/>
    <w:rsid w:val="00873475"/>
    <w:rsid w:val="00880C83"/>
    <w:rsid w:val="00881451"/>
    <w:rsid w:val="00884681"/>
    <w:rsid w:val="0088533E"/>
    <w:rsid w:val="00885C6D"/>
    <w:rsid w:val="00885D71"/>
    <w:rsid w:val="00886029"/>
    <w:rsid w:val="0088702A"/>
    <w:rsid w:val="00893BE8"/>
    <w:rsid w:val="00893BF7"/>
    <w:rsid w:val="00894B42"/>
    <w:rsid w:val="008A012E"/>
    <w:rsid w:val="008A0E7D"/>
    <w:rsid w:val="008A1548"/>
    <w:rsid w:val="008A400F"/>
    <w:rsid w:val="008B1190"/>
    <w:rsid w:val="008B1328"/>
    <w:rsid w:val="008B374B"/>
    <w:rsid w:val="008B667F"/>
    <w:rsid w:val="008C0B9B"/>
    <w:rsid w:val="008C626B"/>
    <w:rsid w:val="008C656B"/>
    <w:rsid w:val="008D0154"/>
    <w:rsid w:val="008D3524"/>
    <w:rsid w:val="008D3D36"/>
    <w:rsid w:val="008D5E4B"/>
    <w:rsid w:val="008D771E"/>
    <w:rsid w:val="008E2B7D"/>
    <w:rsid w:val="008E2FF8"/>
    <w:rsid w:val="008E779B"/>
    <w:rsid w:val="008F1D66"/>
    <w:rsid w:val="008F2C9F"/>
    <w:rsid w:val="008F3867"/>
    <w:rsid w:val="00900852"/>
    <w:rsid w:val="009012C9"/>
    <w:rsid w:val="0090517E"/>
    <w:rsid w:val="00906A48"/>
    <w:rsid w:val="009121EC"/>
    <w:rsid w:val="00913C2B"/>
    <w:rsid w:val="00914955"/>
    <w:rsid w:val="0091695B"/>
    <w:rsid w:val="009202FE"/>
    <w:rsid w:val="00920433"/>
    <w:rsid w:val="00921082"/>
    <w:rsid w:val="0092119E"/>
    <w:rsid w:val="009212CA"/>
    <w:rsid w:val="00922AE6"/>
    <w:rsid w:val="009231B6"/>
    <w:rsid w:val="00933A19"/>
    <w:rsid w:val="00933FE2"/>
    <w:rsid w:val="00947FC3"/>
    <w:rsid w:val="00952865"/>
    <w:rsid w:val="00955EDF"/>
    <w:rsid w:val="00960DB6"/>
    <w:rsid w:val="009612DD"/>
    <w:rsid w:val="00964A93"/>
    <w:rsid w:val="0096715E"/>
    <w:rsid w:val="00967478"/>
    <w:rsid w:val="00970CA0"/>
    <w:rsid w:val="00971803"/>
    <w:rsid w:val="009737ED"/>
    <w:rsid w:val="00974550"/>
    <w:rsid w:val="00975912"/>
    <w:rsid w:val="00976CDF"/>
    <w:rsid w:val="00980020"/>
    <w:rsid w:val="00980053"/>
    <w:rsid w:val="00980977"/>
    <w:rsid w:val="00982A0D"/>
    <w:rsid w:val="00983024"/>
    <w:rsid w:val="009839D4"/>
    <w:rsid w:val="009864AA"/>
    <w:rsid w:val="009867E3"/>
    <w:rsid w:val="00990408"/>
    <w:rsid w:val="00991768"/>
    <w:rsid w:val="009A0ECD"/>
    <w:rsid w:val="009A1C14"/>
    <w:rsid w:val="009A37F4"/>
    <w:rsid w:val="009A39D6"/>
    <w:rsid w:val="009A4404"/>
    <w:rsid w:val="009A620E"/>
    <w:rsid w:val="009A7660"/>
    <w:rsid w:val="009B10F9"/>
    <w:rsid w:val="009B3231"/>
    <w:rsid w:val="009B4ABB"/>
    <w:rsid w:val="009B74F3"/>
    <w:rsid w:val="009C267A"/>
    <w:rsid w:val="009C51CD"/>
    <w:rsid w:val="009C5CE9"/>
    <w:rsid w:val="009C77E2"/>
    <w:rsid w:val="009D29DC"/>
    <w:rsid w:val="009D7516"/>
    <w:rsid w:val="009D7E9B"/>
    <w:rsid w:val="009E13D3"/>
    <w:rsid w:val="009E1EB2"/>
    <w:rsid w:val="009E2B20"/>
    <w:rsid w:val="009E5756"/>
    <w:rsid w:val="009F0097"/>
    <w:rsid w:val="009F292C"/>
    <w:rsid w:val="009F7E95"/>
    <w:rsid w:val="00A00A12"/>
    <w:rsid w:val="00A00AE2"/>
    <w:rsid w:val="00A039DC"/>
    <w:rsid w:val="00A04A55"/>
    <w:rsid w:val="00A05D01"/>
    <w:rsid w:val="00A06270"/>
    <w:rsid w:val="00A07D21"/>
    <w:rsid w:val="00A137EE"/>
    <w:rsid w:val="00A13A3C"/>
    <w:rsid w:val="00A165A7"/>
    <w:rsid w:val="00A17000"/>
    <w:rsid w:val="00A177D1"/>
    <w:rsid w:val="00A21DFD"/>
    <w:rsid w:val="00A22299"/>
    <w:rsid w:val="00A22C8D"/>
    <w:rsid w:val="00A253A3"/>
    <w:rsid w:val="00A25E76"/>
    <w:rsid w:val="00A30618"/>
    <w:rsid w:val="00A31F65"/>
    <w:rsid w:val="00A33B08"/>
    <w:rsid w:val="00A375A2"/>
    <w:rsid w:val="00A434F6"/>
    <w:rsid w:val="00A45542"/>
    <w:rsid w:val="00A45BAF"/>
    <w:rsid w:val="00A46314"/>
    <w:rsid w:val="00A46AA3"/>
    <w:rsid w:val="00A52A3F"/>
    <w:rsid w:val="00A53CE4"/>
    <w:rsid w:val="00A5585D"/>
    <w:rsid w:val="00A56189"/>
    <w:rsid w:val="00A635B7"/>
    <w:rsid w:val="00A64223"/>
    <w:rsid w:val="00A65692"/>
    <w:rsid w:val="00A6650D"/>
    <w:rsid w:val="00A668C2"/>
    <w:rsid w:val="00A70BBA"/>
    <w:rsid w:val="00A70E96"/>
    <w:rsid w:val="00A71AF0"/>
    <w:rsid w:val="00A71B16"/>
    <w:rsid w:val="00A8200A"/>
    <w:rsid w:val="00A83351"/>
    <w:rsid w:val="00A84F3D"/>
    <w:rsid w:val="00A86BEE"/>
    <w:rsid w:val="00A92912"/>
    <w:rsid w:val="00A958CD"/>
    <w:rsid w:val="00A95A6C"/>
    <w:rsid w:val="00AA11A5"/>
    <w:rsid w:val="00AA5AFA"/>
    <w:rsid w:val="00AA5B04"/>
    <w:rsid w:val="00AA738F"/>
    <w:rsid w:val="00AB31C7"/>
    <w:rsid w:val="00AB34CA"/>
    <w:rsid w:val="00AB4EC7"/>
    <w:rsid w:val="00AC200B"/>
    <w:rsid w:val="00AC477D"/>
    <w:rsid w:val="00AC4C2A"/>
    <w:rsid w:val="00AD1458"/>
    <w:rsid w:val="00AD182C"/>
    <w:rsid w:val="00AD2E46"/>
    <w:rsid w:val="00AD33EB"/>
    <w:rsid w:val="00AD41E6"/>
    <w:rsid w:val="00AE057B"/>
    <w:rsid w:val="00AE0823"/>
    <w:rsid w:val="00AE32EB"/>
    <w:rsid w:val="00AE3857"/>
    <w:rsid w:val="00AE44C9"/>
    <w:rsid w:val="00AE6438"/>
    <w:rsid w:val="00AE7C2E"/>
    <w:rsid w:val="00AF0B4B"/>
    <w:rsid w:val="00AF42EC"/>
    <w:rsid w:val="00AF64F3"/>
    <w:rsid w:val="00AF7467"/>
    <w:rsid w:val="00B02A1B"/>
    <w:rsid w:val="00B0356C"/>
    <w:rsid w:val="00B10F6B"/>
    <w:rsid w:val="00B14319"/>
    <w:rsid w:val="00B21828"/>
    <w:rsid w:val="00B2263F"/>
    <w:rsid w:val="00B266B5"/>
    <w:rsid w:val="00B27AF2"/>
    <w:rsid w:val="00B30F20"/>
    <w:rsid w:val="00B31B33"/>
    <w:rsid w:val="00B32F0E"/>
    <w:rsid w:val="00B42769"/>
    <w:rsid w:val="00B44BEA"/>
    <w:rsid w:val="00B47411"/>
    <w:rsid w:val="00B47570"/>
    <w:rsid w:val="00B508C6"/>
    <w:rsid w:val="00B53F5F"/>
    <w:rsid w:val="00B54BAD"/>
    <w:rsid w:val="00B5535C"/>
    <w:rsid w:val="00B63688"/>
    <w:rsid w:val="00B64187"/>
    <w:rsid w:val="00B6529F"/>
    <w:rsid w:val="00B731A2"/>
    <w:rsid w:val="00B73945"/>
    <w:rsid w:val="00B739E9"/>
    <w:rsid w:val="00B74F1A"/>
    <w:rsid w:val="00B76AC2"/>
    <w:rsid w:val="00B81274"/>
    <w:rsid w:val="00B81800"/>
    <w:rsid w:val="00B90B8F"/>
    <w:rsid w:val="00B91D83"/>
    <w:rsid w:val="00B94CA7"/>
    <w:rsid w:val="00B9561F"/>
    <w:rsid w:val="00B966A6"/>
    <w:rsid w:val="00B96F7E"/>
    <w:rsid w:val="00B972B9"/>
    <w:rsid w:val="00BA25CA"/>
    <w:rsid w:val="00BA63CC"/>
    <w:rsid w:val="00BB031B"/>
    <w:rsid w:val="00BB1108"/>
    <w:rsid w:val="00BB1B5A"/>
    <w:rsid w:val="00BB4AD8"/>
    <w:rsid w:val="00BC29B3"/>
    <w:rsid w:val="00BC3D77"/>
    <w:rsid w:val="00BC419B"/>
    <w:rsid w:val="00BC4AC0"/>
    <w:rsid w:val="00BC53CA"/>
    <w:rsid w:val="00BC59CF"/>
    <w:rsid w:val="00BD1DC1"/>
    <w:rsid w:val="00BD3EC9"/>
    <w:rsid w:val="00BD7AD5"/>
    <w:rsid w:val="00BE0C3D"/>
    <w:rsid w:val="00BE1B26"/>
    <w:rsid w:val="00BE2FAE"/>
    <w:rsid w:val="00BE4C8D"/>
    <w:rsid w:val="00BF24AD"/>
    <w:rsid w:val="00BF3B63"/>
    <w:rsid w:val="00BF646D"/>
    <w:rsid w:val="00C00408"/>
    <w:rsid w:val="00C02D69"/>
    <w:rsid w:val="00C144E2"/>
    <w:rsid w:val="00C16BFB"/>
    <w:rsid w:val="00C2330B"/>
    <w:rsid w:val="00C25016"/>
    <w:rsid w:val="00C26702"/>
    <w:rsid w:val="00C3044C"/>
    <w:rsid w:val="00C3103C"/>
    <w:rsid w:val="00C31FAF"/>
    <w:rsid w:val="00C33828"/>
    <w:rsid w:val="00C34D84"/>
    <w:rsid w:val="00C40C1E"/>
    <w:rsid w:val="00C40FE3"/>
    <w:rsid w:val="00C443E6"/>
    <w:rsid w:val="00C45B5C"/>
    <w:rsid w:val="00C469D0"/>
    <w:rsid w:val="00C50291"/>
    <w:rsid w:val="00C50615"/>
    <w:rsid w:val="00C56279"/>
    <w:rsid w:val="00C57489"/>
    <w:rsid w:val="00C66763"/>
    <w:rsid w:val="00C67D1A"/>
    <w:rsid w:val="00C70038"/>
    <w:rsid w:val="00C71199"/>
    <w:rsid w:val="00C717AF"/>
    <w:rsid w:val="00C71FC4"/>
    <w:rsid w:val="00C7273F"/>
    <w:rsid w:val="00C7596A"/>
    <w:rsid w:val="00C8063D"/>
    <w:rsid w:val="00C81C3C"/>
    <w:rsid w:val="00C853C5"/>
    <w:rsid w:val="00C906AD"/>
    <w:rsid w:val="00C92AD4"/>
    <w:rsid w:val="00CA0C4D"/>
    <w:rsid w:val="00CA10B3"/>
    <w:rsid w:val="00CA163B"/>
    <w:rsid w:val="00CA1ECA"/>
    <w:rsid w:val="00CA34DC"/>
    <w:rsid w:val="00CB0870"/>
    <w:rsid w:val="00CB279D"/>
    <w:rsid w:val="00CB5C29"/>
    <w:rsid w:val="00CB608A"/>
    <w:rsid w:val="00CB7C66"/>
    <w:rsid w:val="00CC02FD"/>
    <w:rsid w:val="00CC543B"/>
    <w:rsid w:val="00CC5C34"/>
    <w:rsid w:val="00CD13B1"/>
    <w:rsid w:val="00CD4436"/>
    <w:rsid w:val="00CD5008"/>
    <w:rsid w:val="00CD50F7"/>
    <w:rsid w:val="00CE1C44"/>
    <w:rsid w:val="00CF0644"/>
    <w:rsid w:val="00CF25D1"/>
    <w:rsid w:val="00CF3648"/>
    <w:rsid w:val="00CF3DFA"/>
    <w:rsid w:val="00CF4FB2"/>
    <w:rsid w:val="00CF7B4E"/>
    <w:rsid w:val="00D018A9"/>
    <w:rsid w:val="00D061B4"/>
    <w:rsid w:val="00D071B3"/>
    <w:rsid w:val="00D14B00"/>
    <w:rsid w:val="00D16BF6"/>
    <w:rsid w:val="00D16FEF"/>
    <w:rsid w:val="00D17242"/>
    <w:rsid w:val="00D21168"/>
    <w:rsid w:val="00D26443"/>
    <w:rsid w:val="00D307BB"/>
    <w:rsid w:val="00D329B2"/>
    <w:rsid w:val="00D338F1"/>
    <w:rsid w:val="00D34324"/>
    <w:rsid w:val="00D349DB"/>
    <w:rsid w:val="00D35C71"/>
    <w:rsid w:val="00D360A3"/>
    <w:rsid w:val="00D5134E"/>
    <w:rsid w:val="00D57F19"/>
    <w:rsid w:val="00D6129E"/>
    <w:rsid w:val="00D61EB4"/>
    <w:rsid w:val="00D6218B"/>
    <w:rsid w:val="00D650DF"/>
    <w:rsid w:val="00D719E8"/>
    <w:rsid w:val="00D71D04"/>
    <w:rsid w:val="00D72F04"/>
    <w:rsid w:val="00D740AC"/>
    <w:rsid w:val="00D751FA"/>
    <w:rsid w:val="00D7584D"/>
    <w:rsid w:val="00D770A3"/>
    <w:rsid w:val="00D81A3C"/>
    <w:rsid w:val="00D83539"/>
    <w:rsid w:val="00D8449A"/>
    <w:rsid w:val="00D90467"/>
    <w:rsid w:val="00D91AE0"/>
    <w:rsid w:val="00D91D74"/>
    <w:rsid w:val="00D945F8"/>
    <w:rsid w:val="00D95C6E"/>
    <w:rsid w:val="00D96322"/>
    <w:rsid w:val="00D96B30"/>
    <w:rsid w:val="00D9746D"/>
    <w:rsid w:val="00D97E4C"/>
    <w:rsid w:val="00DA0765"/>
    <w:rsid w:val="00DA1766"/>
    <w:rsid w:val="00DA18AA"/>
    <w:rsid w:val="00DA24DA"/>
    <w:rsid w:val="00DA25F6"/>
    <w:rsid w:val="00DA29F2"/>
    <w:rsid w:val="00DA5E4D"/>
    <w:rsid w:val="00DA6ADF"/>
    <w:rsid w:val="00DA700A"/>
    <w:rsid w:val="00DB089C"/>
    <w:rsid w:val="00DB6288"/>
    <w:rsid w:val="00DB6706"/>
    <w:rsid w:val="00DB6BB9"/>
    <w:rsid w:val="00DB6D91"/>
    <w:rsid w:val="00DB6F15"/>
    <w:rsid w:val="00DC2CA8"/>
    <w:rsid w:val="00DC2FAB"/>
    <w:rsid w:val="00DC3112"/>
    <w:rsid w:val="00DC6DDF"/>
    <w:rsid w:val="00DC7293"/>
    <w:rsid w:val="00DC7D42"/>
    <w:rsid w:val="00DD7585"/>
    <w:rsid w:val="00DE0850"/>
    <w:rsid w:val="00DE43F3"/>
    <w:rsid w:val="00DF1643"/>
    <w:rsid w:val="00DF4698"/>
    <w:rsid w:val="00DF733A"/>
    <w:rsid w:val="00DF7D2B"/>
    <w:rsid w:val="00E04B59"/>
    <w:rsid w:val="00E0758F"/>
    <w:rsid w:val="00E078C9"/>
    <w:rsid w:val="00E142A4"/>
    <w:rsid w:val="00E160D7"/>
    <w:rsid w:val="00E2189B"/>
    <w:rsid w:val="00E21AA0"/>
    <w:rsid w:val="00E24B33"/>
    <w:rsid w:val="00E24D2B"/>
    <w:rsid w:val="00E25C89"/>
    <w:rsid w:val="00E324B1"/>
    <w:rsid w:val="00E3308B"/>
    <w:rsid w:val="00E337E7"/>
    <w:rsid w:val="00E4025E"/>
    <w:rsid w:val="00E4040D"/>
    <w:rsid w:val="00E43206"/>
    <w:rsid w:val="00E443AE"/>
    <w:rsid w:val="00E4463E"/>
    <w:rsid w:val="00E4507D"/>
    <w:rsid w:val="00E46F77"/>
    <w:rsid w:val="00E4744C"/>
    <w:rsid w:val="00E47EFB"/>
    <w:rsid w:val="00E50E77"/>
    <w:rsid w:val="00E513B5"/>
    <w:rsid w:val="00E57766"/>
    <w:rsid w:val="00E600AF"/>
    <w:rsid w:val="00E60F64"/>
    <w:rsid w:val="00E62AA8"/>
    <w:rsid w:val="00E62AF0"/>
    <w:rsid w:val="00E631FE"/>
    <w:rsid w:val="00E635F6"/>
    <w:rsid w:val="00E64714"/>
    <w:rsid w:val="00E73A35"/>
    <w:rsid w:val="00E83B15"/>
    <w:rsid w:val="00E84017"/>
    <w:rsid w:val="00E8484B"/>
    <w:rsid w:val="00E85A9C"/>
    <w:rsid w:val="00E87D00"/>
    <w:rsid w:val="00E9368D"/>
    <w:rsid w:val="00E94920"/>
    <w:rsid w:val="00EA2C9F"/>
    <w:rsid w:val="00EA3C14"/>
    <w:rsid w:val="00EA5E1A"/>
    <w:rsid w:val="00EA6732"/>
    <w:rsid w:val="00EB09CE"/>
    <w:rsid w:val="00EB249D"/>
    <w:rsid w:val="00EB2CC9"/>
    <w:rsid w:val="00EB33D0"/>
    <w:rsid w:val="00EB3912"/>
    <w:rsid w:val="00EB6C0A"/>
    <w:rsid w:val="00EB6FDA"/>
    <w:rsid w:val="00EC51CA"/>
    <w:rsid w:val="00EC66E0"/>
    <w:rsid w:val="00EC67D8"/>
    <w:rsid w:val="00ED5329"/>
    <w:rsid w:val="00ED5D69"/>
    <w:rsid w:val="00ED6442"/>
    <w:rsid w:val="00ED7035"/>
    <w:rsid w:val="00ED737F"/>
    <w:rsid w:val="00EE0449"/>
    <w:rsid w:val="00EE0939"/>
    <w:rsid w:val="00EE464E"/>
    <w:rsid w:val="00EE4714"/>
    <w:rsid w:val="00EE634E"/>
    <w:rsid w:val="00EF1AF2"/>
    <w:rsid w:val="00EF49D7"/>
    <w:rsid w:val="00EF4F0C"/>
    <w:rsid w:val="00EF5011"/>
    <w:rsid w:val="00F006F8"/>
    <w:rsid w:val="00F0280B"/>
    <w:rsid w:val="00F05F65"/>
    <w:rsid w:val="00F06932"/>
    <w:rsid w:val="00F10CEA"/>
    <w:rsid w:val="00F12112"/>
    <w:rsid w:val="00F15A75"/>
    <w:rsid w:val="00F170AF"/>
    <w:rsid w:val="00F234E9"/>
    <w:rsid w:val="00F23FED"/>
    <w:rsid w:val="00F25AF3"/>
    <w:rsid w:val="00F27A32"/>
    <w:rsid w:val="00F30A9E"/>
    <w:rsid w:val="00F37669"/>
    <w:rsid w:val="00F37702"/>
    <w:rsid w:val="00F379FB"/>
    <w:rsid w:val="00F37B96"/>
    <w:rsid w:val="00F41C41"/>
    <w:rsid w:val="00F43006"/>
    <w:rsid w:val="00F46CF3"/>
    <w:rsid w:val="00F47293"/>
    <w:rsid w:val="00F47E05"/>
    <w:rsid w:val="00F50714"/>
    <w:rsid w:val="00F50735"/>
    <w:rsid w:val="00F52372"/>
    <w:rsid w:val="00F56CA6"/>
    <w:rsid w:val="00F62A04"/>
    <w:rsid w:val="00F647A7"/>
    <w:rsid w:val="00F7565A"/>
    <w:rsid w:val="00F763EA"/>
    <w:rsid w:val="00F77E2E"/>
    <w:rsid w:val="00F8469E"/>
    <w:rsid w:val="00F90A4D"/>
    <w:rsid w:val="00F95B01"/>
    <w:rsid w:val="00F95EB8"/>
    <w:rsid w:val="00F97A5E"/>
    <w:rsid w:val="00FA0A1F"/>
    <w:rsid w:val="00FA0B29"/>
    <w:rsid w:val="00FA1659"/>
    <w:rsid w:val="00FA2ED3"/>
    <w:rsid w:val="00FA3147"/>
    <w:rsid w:val="00FA36FA"/>
    <w:rsid w:val="00FA6AF2"/>
    <w:rsid w:val="00FA74FC"/>
    <w:rsid w:val="00FB326D"/>
    <w:rsid w:val="00FB3AC4"/>
    <w:rsid w:val="00FB4E76"/>
    <w:rsid w:val="00FB624E"/>
    <w:rsid w:val="00FB7014"/>
    <w:rsid w:val="00FC3C12"/>
    <w:rsid w:val="00FC7045"/>
    <w:rsid w:val="00FD14A4"/>
    <w:rsid w:val="00FD37AC"/>
    <w:rsid w:val="00FD5E21"/>
    <w:rsid w:val="00FD7D5D"/>
    <w:rsid w:val="00FD7DB9"/>
    <w:rsid w:val="00FE2AC5"/>
    <w:rsid w:val="00FE45BB"/>
    <w:rsid w:val="00FE5EE3"/>
    <w:rsid w:val="00FE653F"/>
    <w:rsid w:val="00FE666E"/>
    <w:rsid w:val="00FE7814"/>
    <w:rsid w:val="00FF00D7"/>
    <w:rsid w:val="00FF03B1"/>
    <w:rsid w:val="00FF2D41"/>
    <w:rsid w:val="00FF3195"/>
    <w:rsid w:val="00FF3673"/>
    <w:rsid w:val="00FF4EB8"/>
    <w:rsid w:val="00FF5B48"/>
    <w:rsid w:val="00FF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F7A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unhideWhenUsed="1"/>
    <w:lsdException w:name="annotation reference" w:semiHidden="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lsdException w:name="Strong" w:semiHidden="1" w:qFormat="1"/>
    <w:lsdException w:name="Emphasis" w:semiHidden="1" w:unhideWhenUsed="1" w:qFormat="1"/>
    <w:lsdException w:name="E-mail Signature" w:semiHidden="1"/>
    <w:lsdException w:name="Normal (Web)" w:semiHidden="1"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1FE"/>
    <w:pPr>
      <w:tabs>
        <w:tab w:val="left" w:pos="284"/>
      </w:tabs>
      <w:spacing w:after="120" w:line="280" w:lineRule="atLeast"/>
    </w:pPr>
  </w:style>
  <w:style w:type="paragraph" w:styleId="Rubrik1">
    <w:name w:val="heading 1"/>
    <w:basedOn w:val="Normal"/>
    <w:next w:val="Normal"/>
    <w:qFormat/>
    <w:rsid w:val="00FB4E7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qFormat/>
    <w:rsid w:val="00BB1B5A"/>
    <w:pPr>
      <w:spacing w:before="60" w:after="60" w:line="260" w:lineRule="atLeast"/>
      <w:outlineLvl w:val="1"/>
    </w:pPr>
    <w:rPr>
      <w:i/>
      <w:sz w:val="25"/>
    </w:rPr>
  </w:style>
  <w:style w:type="paragraph" w:styleId="Rubrik3">
    <w:name w:val="heading 3"/>
    <w:basedOn w:val="Rubrik1"/>
    <w:next w:val="Normal"/>
    <w:qFormat/>
    <w:rsid w:val="00BB1B5A"/>
    <w:pPr>
      <w:spacing w:before="60" w:after="20" w:line="240" w:lineRule="atLeast"/>
      <w:outlineLvl w:val="2"/>
    </w:pPr>
    <w:rPr>
      <w:rFonts w:cs="Arial"/>
      <w:bCs/>
      <w:sz w:val="24"/>
      <w:szCs w:val="26"/>
    </w:rPr>
  </w:style>
  <w:style w:type="paragraph" w:styleId="Rubrik4">
    <w:name w:val="heading 4"/>
    <w:basedOn w:val="Rubrik1"/>
    <w:next w:val="Normal"/>
    <w:qFormat/>
    <w:rsid w:val="004A4562"/>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BB1B5A"/>
    <w:pPr>
      <w:outlineLvl w:val="4"/>
    </w:pPr>
    <w:rPr>
      <w:bCs w:val="0"/>
      <w:i/>
      <w:iCs/>
      <w:szCs w:val="26"/>
    </w:rPr>
  </w:style>
  <w:style w:type="paragraph" w:styleId="Rubrik6">
    <w:name w:val="heading 6"/>
    <w:basedOn w:val="Rubrik5"/>
    <w:next w:val="Normal"/>
    <w:qFormat/>
    <w:rsid w:val="00A86BEE"/>
    <w:pPr>
      <w:outlineLvl w:val="5"/>
    </w:pPr>
    <w:rPr>
      <w:b w:val="0"/>
      <w:bCs/>
      <w:szCs w:val="22"/>
    </w:rPr>
  </w:style>
  <w:style w:type="paragraph" w:styleId="Rubrik7">
    <w:name w:val="heading 7"/>
    <w:basedOn w:val="Rubrik6"/>
    <w:next w:val="Normal"/>
    <w:link w:val="Rubrik7Char"/>
    <w:semiHidden/>
    <w:unhideWhenUsed/>
    <w:qFormat/>
    <w:rsid w:val="00A86BEE"/>
    <w:pPr>
      <w:outlineLvl w:val="6"/>
    </w:pPr>
    <w:rPr>
      <w:rFonts w:eastAsiaTheme="majorEastAsia" w:cstheme="majorBidi"/>
      <w:iCs w:val="0"/>
    </w:rPr>
  </w:style>
  <w:style w:type="paragraph" w:styleId="Rubrik8">
    <w:name w:val="heading 8"/>
    <w:basedOn w:val="Rubrik6"/>
    <w:next w:val="Normal"/>
    <w:link w:val="Rubrik8Char"/>
    <w:semiHidden/>
    <w:unhideWhenUsed/>
    <w:qFormat/>
    <w:rsid w:val="00A86BEE"/>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A86BEE"/>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spacing w:after="0"/>
    </w:pPr>
  </w:style>
  <w:style w:type="paragraph" w:styleId="Sidfot">
    <w:name w:val="footer"/>
    <w:basedOn w:val="Normal"/>
    <w:semiHidden/>
    <w:rsid w:val="00494C11"/>
    <w:pPr>
      <w:spacing w:line="220" w:lineRule="atLeast"/>
    </w:pPr>
    <w:rPr>
      <w:rFonts w:ascii="GillSans Pro for Riksdagen Lt" w:hAnsi="GillSans Pro for Riksdagen Lt"/>
      <w:sz w:val="18"/>
    </w:rPr>
  </w:style>
  <w:style w:type="paragraph" w:customStyle="1" w:styleId="logo">
    <w:name w:val="logo"/>
    <w:basedOn w:val="Normal"/>
    <w:semiHidden/>
    <w:pPr>
      <w:framePr w:wrap="around" w:vAnchor="page" w:hAnchor="page" w:x="7939" w:y="511" w:anchorLock="1"/>
      <w:spacing w:after="0" w:line="240" w:lineRule="auto"/>
    </w:pPr>
    <w:rPr>
      <w:sz w:val="20"/>
    </w:rPr>
  </w:style>
  <w:style w:type="character" w:styleId="Sidnummer">
    <w:name w:val="page number"/>
    <w:basedOn w:val="Standardstycketeckensnitt"/>
    <w:semiHidden/>
    <w:rsid w:val="004728AD"/>
    <w:rPr>
      <w:rFonts w:ascii="GillSans Pro for Riksdagen Lt" w:hAnsi="GillSans Pro for Riksdagen Lt"/>
      <w:sz w:val="18"/>
      <w:vertAlign w:val="baseline"/>
    </w:rPr>
  </w:style>
  <w:style w:type="paragraph" w:customStyle="1" w:styleId="logo2">
    <w:name w:val="logo2"/>
    <w:basedOn w:val="logo"/>
    <w:semiHidden/>
    <w:pPr>
      <w:framePr w:wrap="around" w:x="9016"/>
    </w:pPr>
  </w:style>
  <w:style w:type="paragraph" w:customStyle="1" w:styleId="NormalCourier">
    <w:name w:val="NormalCourier"/>
    <w:basedOn w:val="Normal"/>
    <w:semiHidden/>
    <w:rPr>
      <w:rFonts w:ascii="Courier" w:hAnsi="Courier"/>
    </w:rPr>
  </w:style>
  <w:style w:type="paragraph" w:customStyle="1" w:styleId="KantHuvud">
    <w:name w:val="KantHuvud"/>
    <w:basedOn w:val="Normal"/>
    <w:semiHidden/>
    <w:pPr>
      <w:framePr w:w="2552" w:hSpace="284" w:wrap="around" w:vAnchor="page" w:hAnchor="page" w:x="8279" w:y="2326" w:anchorLock="1"/>
      <w:spacing w:after="0"/>
    </w:pPr>
  </w:style>
  <w:style w:type="table" w:styleId="Tabellrutnt">
    <w:name w:val="Table Grid"/>
    <w:basedOn w:val="Normaltabell"/>
    <w:uiPriority w:val="59"/>
    <w:rsid w:val="00D2116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Namn">
    <w:name w:val="SidfotNamn"/>
    <w:next w:val="SidfotBrdtext"/>
    <w:semiHidden/>
    <w:rsid w:val="00C50615"/>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C50615"/>
    <w:pPr>
      <w:spacing w:after="0"/>
    </w:pPr>
    <w:rPr>
      <w:rFonts w:ascii="GillSans Pro for Riksdagen Lt" w:hAnsi="GillSans Pro for Riksdagen Lt"/>
      <w:sz w:val="18"/>
    </w:rPr>
  </w:style>
  <w:style w:type="paragraph" w:styleId="Oformateradtext">
    <w:name w:val="Plain Text"/>
    <w:basedOn w:val="Normal"/>
    <w:semiHidden/>
    <w:rsid w:val="007A447C"/>
    <w:rPr>
      <w:rFonts w:cs="Courier New"/>
      <w:szCs w:val="20"/>
    </w:rPr>
  </w:style>
  <w:style w:type="paragraph" w:customStyle="1" w:styleId="PMrubrik">
    <w:name w:val="PMrubrik"/>
    <w:next w:val="Normal"/>
    <w:semiHidden/>
    <w:rsid w:val="00EB33D0"/>
    <w:pPr>
      <w:spacing w:line="280" w:lineRule="atLeast"/>
    </w:pPr>
    <w:rPr>
      <w:rFonts w:ascii="GillSans Pro for Riksdagen Md" w:hAnsi="GillSans Pro for Riksdagen Md"/>
      <w:b/>
      <w:sz w:val="36"/>
      <w:szCs w:val="36"/>
    </w:rPr>
  </w:style>
  <w:style w:type="paragraph" w:customStyle="1" w:styleId="NormalKompakt">
    <w:name w:val="NormalKompakt"/>
    <w:basedOn w:val="Normal"/>
    <w:semiHidden/>
    <w:rsid w:val="00CF25D1"/>
    <w:pPr>
      <w:spacing w:after="0" w:line="240" w:lineRule="auto"/>
    </w:pPr>
    <w:rPr>
      <w:lang w:val="en-GB"/>
    </w:rPr>
  </w:style>
  <w:style w:type="paragraph" w:customStyle="1" w:styleId="Titelrubrik">
    <w:name w:val="Titelrubrik"/>
    <w:basedOn w:val="Rubrik1"/>
    <w:semiHidden/>
    <w:rsid w:val="004A0FAA"/>
    <w:rPr>
      <w:sz w:val="36"/>
    </w:rPr>
  </w:style>
  <w:style w:type="paragraph" w:styleId="Innehll1">
    <w:name w:val="toc 1"/>
    <w:basedOn w:val="NormalKompakt"/>
    <w:next w:val="Normal"/>
    <w:autoRedefine/>
    <w:semiHidden/>
    <w:rsid w:val="00E4463E"/>
    <w:pPr>
      <w:tabs>
        <w:tab w:val="clear" w:pos="284"/>
      </w:tabs>
    </w:pPr>
  </w:style>
  <w:style w:type="paragraph" w:styleId="Innehll2">
    <w:name w:val="toc 2"/>
    <w:basedOn w:val="NormalKompakt"/>
    <w:next w:val="Normal"/>
    <w:autoRedefine/>
    <w:semiHidden/>
    <w:rsid w:val="00E4463E"/>
    <w:pPr>
      <w:tabs>
        <w:tab w:val="clear" w:pos="284"/>
      </w:tabs>
      <w:ind w:left="220"/>
    </w:pPr>
  </w:style>
  <w:style w:type="character" w:styleId="Hyperlnk">
    <w:name w:val="Hyperlink"/>
    <w:basedOn w:val="Standardstycketeckensnitt"/>
    <w:semiHidden/>
    <w:rsid w:val="00E4463E"/>
    <w:rPr>
      <w:color w:val="0000FF"/>
      <w:u w:val="single"/>
    </w:rPr>
  </w:style>
  <w:style w:type="paragraph" w:customStyle="1" w:styleId="FormatmallPMrubrik14pt">
    <w:name w:val="Formatmall PMrubrik + 14 pt"/>
    <w:basedOn w:val="PMrubrik"/>
    <w:unhideWhenUsed/>
    <w:rsid w:val="00204F59"/>
    <w:pPr>
      <w:spacing w:after="120"/>
    </w:pPr>
    <w:rPr>
      <w:bCs/>
      <w:caps/>
      <w:sz w:val="28"/>
    </w:rPr>
  </w:style>
  <w:style w:type="paragraph" w:customStyle="1" w:styleId="Punktlistautanluft">
    <w:name w:val="Punktlista utan luft"/>
    <w:basedOn w:val="Normal"/>
    <w:uiPriority w:val="49"/>
    <w:rsid w:val="00E9368D"/>
    <w:pPr>
      <w:numPr>
        <w:numId w:val="15"/>
      </w:numPr>
      <w:spacing w:after="0"/>
      <w:ind w:left="266" w:hanging="266"/>
    </w:pPr>
  </w:style>
  <w:style w:type="paragraph" w:styleId="Punktlista">
    <w:name w:val="List Bullet"/>
    <w:basedOn w:val="Normal"/>
    <w:semiHidden/>
    <w:rsid w:val="00D97E4C"/>
    <w:pPr>
      <w:numPr>
        <w:numId w:val="16"/>
      </w:numPr>
      <w:spacing w:after="0"/>
    </w:pPr>
  </w:style>
  <w:style w:type="paragraph" w:styleId="Punktlista2">
    <w:name w:val="List Bullet 2"/>
    <w:basedOn w:val="Punktlistautanluft"/>
    <w:semiHidden/>
    <w:rsid w:val="00E9368D"/>
    <w:pPr>
      <w:numPr>
        <w:ilvl w:val="1"/>
      </w:numPr>
    </w:pPr>
  </w:style>
  <w:style w:type="paragraph" w:styleId="Punktlista3">
    <w:name w:val="List Bullet 3"/>
    <w:basedOn w:val="Punktlista2"/>
    <w:semiHidden/>
    <w:rsid w:val="00E9368D"/>
    <w:pPr>
      <w:numPr>
        <w:ilvl w:val="2"/>
      </w:numPr>
    </w:pPr>
  </w:style>
  <w:style w:type="paragraph" w:styleId="Punktlista4">
    <w:name w:val="List Bullet 4"/>
    <w:basedOn w:val="Punktlista3"/>
    <w:semiHidden/>
    <w:rsid w:val="00E9368D"/>
    <w:pPr>
      <w:numPr>
        <w:ilvl w:val="3"/>
      </w:numPr>
    </w:pPr>
  </w:style>
  <w:style w:type="paragraph" w:styleId="Fotnotstext">
    <w:name w:val="footnote text"/>
    <w:basedOn w:val="Normal"/>
    <w:semiHidden/>
    <w:rsid w:val="002451C3"/>
    <w:pPr>
      <w:spacing w:after="40" w:line="200" w:lineRule="atLeast"/>
      <w:ind w:left="113" w:hanging="113"/>
    </w:pPr>
    <w:rPr>
      <w:sz w:val="18"/>
      <w:szCs w:val="20"/>
    </w:rPr>
  </w:style>
  <w:style w:type="character" w:styleId="Fotnotsreferens">
    <w:name w:val="footnote reference"/>
    <w:basedOn w:val="Standardstycketeckensnitt"/>
    <w:semiHidden/>
    <w:rsid w:val="00C45B5C"/>
    <w:rPr>
      <w:vertAlign w:val="superscript"/>
    </w:rPr>
  </w:style>
  <w:style w:type="paragraph" w:customStyle="1" w:styleId="SidfotEnhet">
    <w:name w:val="SidfotEnhet"/>
    <w:basedOn w:val="SidfotNamn"/>
    <w:next w:val="SidfotBrdtext"/>
    <w:semiHidden/>
    <w:rsid w:val="004633A8"/>
    <w:rPr>
      <w:sz w:val="20"/>
    </w:rPr>
  </w:style>
  <w:style w:type="paragraph" w:styleId="Innehll3">
    <w:name w:val="toc 3"/>
    <w:basedOn w:val="NormalKompakt"/>
    <w:next w:val="Normal"/>
    <w:autoRedefine/>
    <w:semiHidden/>
    <w:rsid w:val="005E5FD3"/>
    <w:pPr>
      <w:tabs>
        <w:tab w:val="clear" w:pos="284"/>
      </w:tabs>
      <w:ind w:left="440"/>
    </w:pPr>
  </w:style>
  <w:style w:type="paragraph" w:styleId="Innehll4">
    <w:name w:val="toc 4"/>
    <w:basedOn w:val="NormalKompakt"/>
    <w:next w:val="Normal"/>
    <w:autoRedefine/>
    <w:semiHidden/>
    <w:rsid w:val="005E5FD3"/>
    <w:pPr>
      <w:tabs>
        <w:tab w:val="clear" w:pos="284"/>
      </w:tabs>
      <w:ind w:left="660"/>
    </w:pPr>
  </w:style>
  <w:style w:type="paragraph" w:styleId="Innehll5">
    <w:name w:val="toc 5"/>
    <w:basedOn w:val="NormalKompakt"/>
    <w:next w:val="Normal"/>
    <w:autoRedefine/>
    <w:semiHidden/>
    <w:rsid w:val="005E5FD3"/>
    <w:pPr>
      <w:tabs>
        <w:tab w:val="clear" w:pos="284"/>
      </w:tabs>
      <w:ind w:left="880"/>
    </w:pPr>
  </w:style>
  <w:style w:type="paragraph" w:styleId="Adress-brev">
    <w:name w:val="envelope address"/>
    <w:basedOn w:val="Normal"/>
    <w:semiHidden/>
    <w:rsid w:val="007A447C"/>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7A447C"/>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7A447C"/>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C40FE3"/>
    <w:rPr>
      <w:rFonts w:cs="Segoe UI"/>
      <w:sz w:val="18"/>
      <w:szCs w:val="18"/>
    </w:rPr>
  </w:style>
  <w:style w:type="paragraph" w:styleId="Beskrivning">
    <w:name w:val="caption"/>
    <w:basedOn w:val="Normal"/>
    <w:next w:val="Normal"/>
    <w:qFormat/>
    <w:rsid w:val="00552D66"/>
    <w:pPr>
      <w:spacing w:before="120" w:after="60" w:line="240" w:lineRule="auto"/>
      <w:contextualSpacing/>
    </w:pPr>
    <w:rPr>
      <w:b/>
      <w:i/>
      <w:iCs/>
      <w:szCs w:val="18"/>
    </w:rPr>
  </w:style>
  <w:style w:type="paragraph" w:styleId="Citatfrteckningsrubrik">
    <w:name w:val="toa heading"/>
    <w:basedOn w:val="Rubrik3"/>
    <w:next w:val="Normal"/>
    <w:semiHidden/>
    <w:rsid w:val="007A447C"/>
    <w:rPr>
      <w:rFonts w:eastAsiaTheme="majorEastAsia" w:cstheme="majorBidi"/>
      <w:bCs w:val="0"/>
      <w:szCs w:val="24"/>
    </w:rPr>
  </w:style>
  <w:style w:type="paragraph" w:styleId="Dokumentversikt">
    <w:name w:val="Document Map"/>
    <w:basedOn w:val="Normal"/>
    <w:link w:val="DokumentversiktChar"/>
    <w:semiHidden/>
    <w:rsid w:val="007A447C"/>
    <w:pPr>
      <w:spacing w:after="0" w:line="240" w:lineRule="auto"/>
    </w:pPr>
    <w:rPr>
      <w:rFonts w:cs="Segoe UI"/>
      <w:sz w:val="16"/>
      <w:szCs w:val="16"/>
    </w:rPr>
  </w:style>
  <w:style w:type="character" w:customStyle="1" w:styleId="DokumentversiktChar">
    <w:name w:val="Dokumentöversikt Char"/>
    <w:basedOn w:val="Standardstycketeckensnitt"/>
    <w:link w:val="Dokumentversikt"/>
    <w:semiHidden/>
    <w:rsid w:val="00FE7814"/>
    <w:rPr>
      <w:rFonts w:cs="Segoe UI"/>
      <w:sz w:val="16"/>
      <w:szCs w:val="16"/>
    </w:rPr>
  </w:style>
  <w:style w:type="paragraph" w:styleId="Index1">
    <w:name w:val="index 1"/>
    <w:basedOn w:val="Normal"/>
    <w:next w:val="Normal"/>
    <w:autoRedefine/>
    <w:semiHidden/>
    <w:rsid w:val="007A447C"/>
    <w:pPr>
      <w:tabs>
        <w:tab w:val="clear" w:pos="284"/>
      </w:tabs>
      <w:spacing w:after="0" w:line="240" w:lineRule="auto"/>
      <w:ind w:left="220" w:hanging="220"/>
    </w:pPr>
  </w:style>
  <w:style w:type="paragraph" w:styleId="Indexrubrik">
    <w:name w:val="index heading"/>
    <w:basedOn w:val="Rubrik3"/>
    <w:next w:val="Index1"/>
    <w:semiHidden/>
    <w:rsid w:val="007A447C"/>
    <w:rPr>
      <w:rFonts w:eastAsiaTheme="majorEastAsia" w:cstheme="majorBidi"/>
      <w:bCs w:val="0"/>
    </w:rPr>
  </w:style>
  <w:style w:type="paragraph" w:styleId="Indragetstycke">
    <w:name w:val="Block Text"/>
    <w:basedOn w:val="Normal"/>
    <w:semiHidden/>
    <w:rsid w:val="007A447C"/>
    <w:pPr>
      <w:ind w:left="1152" w:right="1152"/>
    </w:pPr>
    <w:rPr>
      <w:rFonts w:eastAsiaTheme="minorEastAsia" w:cstheme="minorBidi"/>
      <w:i/>
      <w:iCs/>
    </w:rPr>
  </w:style>
  <w:style w:type="paragraph" w:styleId="Meddelanderubrik">
    <w:name w:val="Message Header"/>
    <w:basedOn w:val="Rubrik3"/>
    <w:link w:val="MeddelanderubrikChar"/>
    <w:semiHidden/>
    <w:rsid w:val="007A447C"/>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69358C"/>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semiHidden/>
    <w:qFormat/>
    <w:rsid w:val="007A447C"/>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semiHidden/>
    <w:rsid w:val="00021B02"/>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A86BEE"/>
    <w:rPr>
      <w:rFonts w:eastAsiaTheme="majorEastAsia" w:cstheme="majorBidi"/>
      <w:bCs/>
      <w:i/>
      <w:kern w:val="28"/>
      <w:sz w:val="22"/>
      <w:szCs w:val="22"/>
    </w:rPr>
  </w:style>
  <w:style w:type="character" w:customStyle="1" w:styleId="Rubrik8Char">
    <w:name w:val="Rubrik 8 Char"/>
    <w:basedOn w:val="Standardstycketeckensnitt"/>
    <w:link w:val="Rubrik8"/>
    <w:semiHidden/>
    <w:rsid w:val="00A86BEE"/>
    <w:rPr>
      <w:rFonts w:eastAsiaTheme="majorEastAsia" w:cstheme="majorBidi"/>
      <w:bCs/>
      <w:i/>
      <w:iCs/>
      <w:kern w:val="28"/>
      <w:sz w:val="22"/>
      <w:szCs w:val="21"/>
    </w:rPr>
  </w:style>
  <w:style w:type="character" w:customStyle="1" w:styleId="Rubrik9Char">
    <w:name w:val="Rubrik 9 Char"/>
    <w:basedOn w:val="Standardstycketeckensnitt"/>
    <w:link w:val="Rubrik9"/>
    <w:semiHidden/>
    <w:rsid w:val="00A86BEE"/>
    <w:rPr>
      <w:rFonts w:eastAsiaTheme="majorEastAsia" w:cstheme="majorBidi"/>
      <w:bCs/>
      <w:i/>
      <w:kern w:val="28"/>
      <w:sz w:val="22"/>
      <w:szCs w:val="21"/>
    </w:rPr>
  </w:style>
  <w:style w:type="paragraph" w:styleId="Underrubrik">
    <w:name w:val="Subtitle"/>
    <w:basedOn w:val="Rubrik3"/>
    <w:next w:val="Normal"/>
    <w:link w:val="UnderrubrikChar"/>
    <w:semiHidden/>
    <w:qFormat/>
    <w:rsid w:val="00A86BEE"/>
    <w:pPr>
      <w:numPr>
        <w:ilvl w:val="1"/>
      </w:numPr>
    </w:pPr>
    <w:rPr>
      <w:rFonts w:eastAsiaTheme="minorEastAsia" w:cstheme="minorBidi"/>
      <w:szCs w:val="22"/>
    </w:rPr>
  </w:style>
  <w:style w:type="character" w:customStyle="1" w:styleId="UnderrubrikChar">
    <w:name w:val="Underrubrik Char"/>
    <w:basedOn w:val="Standardstycketeckensnitt"/>
    <w:link w:val="Underrubrik"/>
    <w:semiHidden/>
    <w:rsid w:val="00021B02"/>
    <w:rPr>
      <w:rFonts w:ascii="GillSans Pro for Riksdagen Md" w:eastAsiaTheme="minorEastAsia" w:hAnsi="GillSans Pro for Riksdagen Md" w:cstheme="minorBidi"/>
      <w:b/>
      <w:bCs/>
      <w:kern w:val="28"/>
      <w:sz w:val="24"/>
    </w:rPr>
  </w:style>
  <w:style w:type="character" w:styleId="Diskretbetoning">
    <w:name w:val="Subtle Emphasis"/>
    <w:basedOn w:val="Standardstycketeckensnitt"/>
    <w:uiPriority w:val="19"/>
    <w:semiHidden/>
    <w:qFormat/>
    <w:rsid w:val="00A86BEE"/>
    <w:rPr>
      <w:i/>
      <w:iCs/>
      <w:color w:val="auto"/>
    </w:rPr>
  </w:style>
  <w:style w:type="character" w:styleId="Starkbetoning">
    <w:name w:val="Intense Emphasis"/>
    <w:basedOn w:val="Standardstycketeckensnitt"/>
    <w:uiPriority w:val="21"/>
    <w:semiHidden/>
    <w:qFormat/>
    <w:rsid w:val="00A86BEE"/>
    <w:rPr>
      <w:i/>
      <w:iCs/>
      <w:color w:val="auto"/>
    </w:rPr>
  </w:style>
  <w:style w:type="paragraph" w:styleId="Starktcitat">
    <w:name w:val="Intense Quote"/>
    <w:basedOn w:val="Normal"/>
    <w:next w:val="Normal"/>
    <w:link w:val="StarktcitatChar"/>
    <w:uiPriority w:val="30"/>
    <w:semiHidden/>
    <w:qFormat/>
    <w:rsid w:val="00A86BEE"/>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69358C"/>
    <w:rPr>
      <w:i/>
      <w:iCs/>
    </w:rPr>
  </w:style>
  <w:style w:type="character" w:styleId="Diskretreferens">
    <w:name w:val="Subtle Reference"/>
    <w:basedOn w:val="Standardstycketeckensnitt"/>
    <w:uiPriority w:val="31"/>
    <w:semiHidden/>
    <w:qFormat/>
    <w:rsid w:val="00A86BEE"/>
    <w:rPr>
      <w:smallCaps/>
      <w:color w:val="auto"/>
    </w:rPr>
  </w:style>
  <w:style w:type="character" w:styleId="Starkreferens">
    <w:name w:val="Intense Reference"/>
    <w:basedOn w:val="Standardstycketeckensnitt"/>
    <w:uiPriority w:val="32"/>
    <w:semiHidden/>
    <w:qFormat/>
    <w:rsid w:val="00A86BEE"/>
    <w:rPr>
      <w:b/>
      <w:bCs/>
      <w:smallCaps/>
      <w:color w:val="auto"/>
      <w:spacing w:val="5"/>
    </w:rPr>
  </w:style>
  <w:style w:type="paragraph" w:styleId="Innehllsfrteckningsrubrik">
    <w:name w:val="TOC Heading"/>
    <w:basedOn w:val="Rubrik1"/>
    <w:next w:val="Normal"/>
    <w:uiPriority w:val="39"/>
    <w:semiHidden/>
    <w:unhideWhenUsed/>
    <w:qFormat/>
    <w:rsid w:val="00A86BEE"/>
    <w:pPr>
      <w:outlineLvl w:val="9"/>
    </w:pPr>
    <w:rPr>
      <w:rFonts w:eastAsiaTheme="majorEastAsia" w:cstheme="majorBidi"/>
      <w:kern w:val="0"/>
      <w:szCs w:val="32"/>
    </w:rPr>
  </w:style>
  <w:style w:type="paragraph" w:customStyle="1" w:styleId="Punktlistabomb">
    <w:name w:val="Punktlista bomb"/>
    <w:basedOn w:val="Normal"/>
    <w:uiPriority w:val="49"/>
    <w:qFormat/>
    <w:rsid w:val="00021B02"/>
    <w:pPr>
      <w:numPr>
        <w:numId w:val="21"/>
      </w:numPr>
      <w:spacing w:before="125" w:after="125" w:line="250" w:lineRule="atLeast"/>
      <w:ind w:left="284" w:hanging="284"/>
      <w:contextualSpacing/>
      <w:jc w:val="both"/>
    </w:pPr>
    <w:rPr>
      <w:szCs w:val="24"/>
    </w:rPr>
  </w:style>
  <w:style w:type="paragraph" w:customStyle="1" w:styleId="Punktlistagemener">
    <w:name w:val="Punktlista gemener"/>
    <w:basedOn w:val="Normal"/>
    <w:uiPriority w:val="49"/>
    <w:qFormat/>
    <w:rsid w:val="00021B02"/>
    <w:pPr>
      <w:numPr>
        <w:numId w:val="22"/>
      </w:numPr>
      <w:tabs>
        <w:tab w:val="left" w:pos="567"/>
        <w:tab w:val="left" w:pos="850"/>
        <w:tab w:val="left" w:pos="1701"/>
        <w:tab w:val="left" w:pos="2551"/>
        <w:tab w:val="left" w:pos="3402"/>
        <w:tab w:val="center" w:pos="4252"/>
        <w:tab w:val="left" w:pos="5102"/>
        <w:tab w:val="right" w:pos="5839"/>
        <w:tab w:val="right" w:pos="7370"/>
      </w:tabs>
      <w:spacing w:before="125" w:after="125" w:line="250" w:lineRule="atLeast"/>
      <w:ind w:left="284" w:hanging="284"/>
      <w:contextualSpacing/>
      <w:jc w:val="both"/>
    </w:pPr>
    <w:rPr>
      <w:szCs w:val="24"/>
    </w:rPr>
  </w:style>
  <w:style w:type="paragraph" w:customStyle="1" w:styleId="Punktlistalinje">
    <w:name w:val="Punktlista linje"/>
    <w:basedOn w:val="Normal"/>
    <w:uiPriority w:val="49"/>
    <w:qFormat/>
    <w:rsid w:val="00021B02"/>
    <w:pPr>
      <w:numPr>
        <w:numId w:val="23"/>
      </w:numPr>
      <w:spacing w:before="125" w:after="125" w:line="250" w:lineRule="atLeast"/>
      <w:ind w:left="284" w:hanging="284"/>
      <w:contextualSpacing/>
      <w:jc w:val="both"/>
    </w:pPr>
    <w:rPr>
      <w:szCs w:val="24"/>
    </w:rPr>
  </w:style>
  <w:style w:type="paragraph" w:customStyle="1" w:styleId="PVgnar">
    <w:name w:val="PåVägnar"/>
    <w:basedOn w:val="Normal"/>
    <w:next w:val="Normal"/>
    <w:link w:val="PVgnarChar"/>
    <w:semiHidden/>
    <w:rsid w:val="00955EDF"/>
    <w:pPr>
      <w:tabs>
        <w:tab w:val="clear" w:pos="284"/>
      </w:tabs>
      <w:spacing w:before="62" w:after="520" w:line="240" w:lineRule="auto"/>
    </w:pPr>
    <w:rPr>
      <w:rFonts w:eastAsiaTheme="minorHAnsi"/>
      <w:sz w:val="19"/>
      <w:szCs w:val="19"/>
      <w:lang w:eastAsia="en-US"/>
    </w:rPr>
  </w:style>
  <w:style w:type="character" w:customStyle="1" w:styleId="PVgnarChar">
    <w:name w:val="PåVägnar Char"/>
    <w:basedOn w:val="Standardstycketeckensnitt"/>
    <w:link w:val="PVgnar"/>
    <w:semiHidden/>
    <w:rsid w:val="00955EDF"/>
    <w:rPr>
      <w:rFonts w:eastAsiaTheme="minorHAnsi"/>
      <w:sz w:val="19"/>
      <w:szCs w:val="19"/>
      <w:lang w:eastAsia="en-US"/>
    </w:rPr>
  </w:style>
  <w:style w:type="paragraph" w:customStyle="1" w:styleId="Punktlistasiffra">
    <w:name w:val="Punktlista siffra"/>
    <w:basedOn w:val="Normal"/>
    <w:uiPriority w:val="49"/>
    <w:qFormat/>
    <w:rsid w:val="00021B02"/>
    <w:pPr>
      <w:numPr>
        <w:numId w:val="24"/>
      </w:numPr>
      <w:spacing w:before="125" w:after="125" w:line="250" w:lineRule="atLeast"/>
      <w:ind w:left="284" w:hanging="284"/>
      <w:contextualSpacing/>
      <w:jc w:val="both"/>
    </w:pPr>
    <w:rPr>
      <w:szCs w:val="24"/>
    </w:rPr>
  </w:style>
  <w:style w:type="paragraph" w:styleId="Normaltindrag">
    <w:name w:val="Normal Indent"/>
    <w:basedOn w:val="Normal"/>
    <w:rsid w:val="004D759A"/>
    <w:pPr>
      <w:spacing w:after="0"/>
      <w:ind w:firstLine="227"/>
      <w:contextualSpacing/>
    </w:pPr>
  </w:style>
  <w:style w:type="paragraph" w:customStyle="1" w:styleId="Tabell-Kolumnrubrik">
    <w:name w:val="Tabell - Kolumnrubrik"/>
    <w:basedOn w:val="Normal"/>
    <w:uiPriority w:val="29"/>
    <w:unhideWhenUsed/>
    <w:qFormat/>
    <w:rsid w:val="001435F8"/>
    <w:pPr>
      <w:tabs>
        <w:tab w:val="clear" w:pos="284"/>
        <w:tab w:val="left" w:pos="567"/>
        <w:tab w:val="left" w:pos="850"/>
        <w:tab w:val="left" w:pos="1701"/>
        <w:tab w:val="left" w:pos="2551"/>
        <w:tab w:val="left" w:pos="3402"/>
        <w:tab w:val="center" w:pos="4252"/>
        <w:tab w:val="left" w:pos="5102"/>
        <w:tab w:val="right" w:pos="5839"/>
        <w:tab w:val="right" w:pos="7370"/>
      </w:tabs>
      <w:spacing w:after="0" w:line="240" w:lineRule="exact"/>
    </w:pPr>
    <w:rPr>
      <w:b/>
      <w:sz w:val="20"/>
      <w:szCs w:val="24"/>
      <w:lang w:eastAsia="en-US"/>
    </w:rPr>
  </w:style>
  <w:style w:type="paragraph" w:customStyle="1" w:styleId="Tabell-Klla">
    <w:name w:val="Tabell - Källa"/>
    <w:basedOn w:val="Normal"/>
    <w:next w:val="Normal"/>
    <w:unhideWhenUsed/>
    <w:qFormat/>
    <w:rsid w:val="00A635B7"/>
    <w:pPr>
      <w:tabs>
        <w:tab w:val="clear" w:pos="284"/>
      </w:tabs>
      <w:spacing w:before="120" w:after="0" w:line="160" w:lineRule="exact"/>
      <w:contextualSpacing/>
    </w:pPr>
    <w:rPr>
      <w:i/>
      <w:szCs w:val="24"/>
    </w:rPr>
  </w:style>
  <w:style w:type="paragraph" w:customStyle="1" w:styleId="Tabell-Radrubrik">
    <w:name w:val="Tabell - Radrubrik"/>
    <w:basedOn w:val="Normal"/>
    <w:unhideWhenUsed/>
    <w:qFormat/>
    <w:rsid w:val="001435F8"/>
    <w:pPr>
      <w:tabs>
        <w:tab w:val="clear" w:pos="284"/>
      </w:tabs>
      <w:spacing w:after="0" w:line="240" w:lineRule="exact"/>
    </w:pPr>
    <w:rPr>
      <w:sz w:val="20"/>
      <w:szCs w:val="24"/>
      <w:lang w:eastAsia="en-US"/>
    </w:rPr>
  </w:style>
  <w:style w:type="paragraph" w:customStyle="1" w:styleId="Tabell-Rubrik">
    <w:name w:val="Tabell - Rubrik"/>
    <w:basedOn w:val="Normal"/>
    <w:next w:val="Normal"/>
    <w:uiPriority w:val="29"/>
    <w:qFormat/>
    <w:rsid w:val="001435F8"/>
    <w:pPr>
      <w:keepNext/>
      <w:keepLines/>
      <w:tabs>
        <w:tab w:val="clear" w:pos="284"/>
      </w:tabs>
      <w:spacing w:before="240" w:after="60" w:line="200" w:lineRule="atLeast"/>
    </w:pPr>
    <w:rPr>
      <w:rFonts w:eastAsiaTheme="majorEastAsia" w:cstheme="majorBidi"/>
      <w:b/>
      <w:sz w:val="20"/>
      <w:szCs w:val="19"/>
      <w:lang w:eastAsia="en-US"/>
    </w:rPr>
  </w:style>
  <w:style w:type="paragraph" w:customStyle="1" w:styleId="Tabell-Siffror">
    <w:name w:val="Tabell - Siffror"/>
    <w:basedOn w:val="Normal"/>
    <w:uiPriority w:val="29"/>
    <w:unhideWhenUsed/>
    <w:rsid w:val="001435F8"/>
    <w:pPr>
      <w:tabs>
        <w:tab w:val="clear" w:pos="284"/>
      </w:tabs>
      <w:spacing w:after="0" w:line="240" w:lineRule="exact"/>
      <w:jc w:val="right"/>
    </w:pPr>
    <w:rPr>
      <w:sz w:val="20"/>
      <w:szCs w:val="24"/>
    </w:rPr>
  </w:style>
  <w:style w:type="paragraph" w:customStyle="1" w:styleId="Tabell-Text">
    <w:name w:val="Tabell - Text"/>
    <w:uiPriority w:val="29"/>
    <w:unhideWhenUsed/>
    <w:rsid w:val="001435F8"/>
    <w:pPr>
      <w:spacing w:line="240" w:lineRule="exact"/>
    </w:pPr>
    <w:rPr>
      <w:sz w:val="20"/>
      <w:szCs w:val="24"/>
    </w:rPr>
  </w:style>
  <w:style w:type="paragraph" w:customStyle="1" w:styleId="Tabell-Underrubrik">
    <w:name w:val="Tabell - Underrubrik"/>
    <w:basedOn w:val="Tabell-Rubrik"/>
    <w:next w:val="Tabell-Text"/>
    <w:uiPriority w:val="29"/>
    <w:unhideWhenUsed/>
    <w:qFormat/>
    <w:rsid w:val="001435F8"/>
    <w:pPr>
      <w:spacing w:before="0" w:after="20" w:line="160" w:lineRule="atLeast"/>
    </w:pPr>
    <w:rPr>
      <w:b w:val="0"/>
      <w:i/>
    </w:rPr>
  </w:style>
  <w:style w:type="paragraph" w:customStyle="1" w:styleId="Dnr">
    <w:name w:val="Dnr"/>
    <w:basedOn w:val="Normal"/>
    <w:qFormat/>
    <w:rsid w:val="00021B02"/>
    <w:pPr>
      <w:spacing w:after="0" w:line="240" w:lineRule="auto"/>
    </w:pPr>
  </w:style>
  <w:style w:type="paragraph" w:customStyle="1" w:styleId="Dokumentrubrik">
    <w:name w:val="Dokumentrubrik"/>
    <w:basedOn w:val="Rubrik1"/>
    <w:qFormat/>
    <w:rsid w:val="00EC51CA"/>
    <w:pPr>
      <w:spacing w:before="720" w:after="0"/>
      <w:contextualSpacing/>
      <w:outlineLvl w:val="9"/>
    </w:pPr>
    <w:rPr>
      <w:lang w:eastAsia="en-US"/>
    </w:rPr>
  </w:style>
  <w:style w:type="character" w:styleId="Platshllartext">
    <w:name w:val="Placeholder Text"/>
    <w:basedOn w:val="Standardstycketeckensnitt"/>
    <w:uiPriority w:val="99"/>
    <w:semiHidden/>
    <w:rsid w:val="0005184C"/>
    <w:rPr>
      <w:color w:val="808080"/>
    </w:rPr>
  </w:style>
  <w:style w:type="paragraph" w:styleId="Normalwebb">
    <w:name w:val="Normal (Web)"/>
    <w:basedOn w:val="Normal"/>
    <w:uiPriority w:val="99"/>
    <w:semiHidden/>
    <w:unhideWhenUsed/>
    <w:rsid w:val="00C57489"/>
    <w:pPr>
      <w:tabs>
        <w:tab w:val="clear" w:pos="284"/>
      </w:tabs>
      <w:spacing w:after="150" w:line="240" w:lineRule="auto"/>
    </w:pPr>
    <w:rPr>
      <w:sz w:val="24"/>
      <w:szCs w:val="24"/>
    </w:rPr>
  </w:style>
  <w:style w:type="paragraph" w:styleId="Liststycke">
    <w:name w:val="List Paragraph"/>
    <w:basedOn w:val="Normal"/>
    <w:uiPriority w:val="34"/>
    <w:semiHidden/>
    <w:qFormat/>
    <w:rsid w:val="00086A1F"/>
    <w:pPr>
      <w:ind w:left="720"/>
      <w:contextualSpacing/>
    </w:pPr>
  </w:style>
  <w:style w:type="character" w:styleId="Olstomnmnande">
    <w:name w:val="Unresolved Mention"/>
    <w:basedOn w:val="Standardstycketeckensnitt"/>
    <w:uiPriority w:val="99"/>
    <w:semiHidden/>
    <w:unhideWhenUsed/>
    <w:rsid w:val="00E324B1"/>
    <w:rPr>
      <w:color w:val="605E5C"/>
      <w:shd w:val="clear" w:color="auto" w:fill="E1DFDD"/>
    </w:rPr>
  </w:style>
  <w:style w:type="character" w:styleId="Kommentarsreferens">
    <w:name w:val="annotation reference"/>
    <w:basedOn w:val="Standardstycketeckensnitt"/>
    <w:semiHidden/>
    <w:rsid w:val="00CB7C66"/>
    <w:rPr>
      <w:sz w:val="16"/>
      <w:szCs w:val="16"/>
    </w:rPr>
  </w:style>
  <w:style w:type="paragraph" w:styleId="Kommentarer">
    <w:name w:val="annotation text"/>
    <w:basedOn w:val="Normal"/>
    <w:link w:val="KommentarerChar"/>
    <w:semiHidden/>
    <w:rsid w:val="00CB7C66"/>
    <w:pPr>
      <w:spacing w:line="240" w:lineRule="auto"/>
    </w:pPr>
    <w:rPr>
      <w:sz w:val="20"/>
      <w:szCs w:val="20"/>
    </w:rPr>
  </w:style>
  <w:style w:type="character" w:customStyle="1" w:styleId="KommentarerChar">
    <w:name w:val="Kommentarer Char"/>
    <w:basedOn w:val="Standardstycketeckensnitt"/>
    <w:link w:val="Kommentarer"/>
    <w:semiHidden/>
    <w:rsid w:val="00CB7C66"/>
    <w:rPr>
      <w:sz w:val="20"/>
      <w:szCs w:val="20"/>
    </w:rPr>
  </w:style>
  <w:style w:type="paragraph" w:styleId="Kommentarsmne">
    <w:name w:val="annotation subject"/>
    <w:basedOn w:val="Kommentarer"/>
    <w:next w:val="Kommentarer"/>
    <w:link w:val="KommentarsmneChar"/>
    <w:semiHidden/>
    <w:rsid w:val="00CB7C66"/>
    <w:rPr>
      <w:b/>
      <w:bCs/>
    </w:rPr>
  </w:style>
  <w:style w:type="character" w:customStyle="1" w:styleId="KommentarsmneChar">
    <w:name w:val="Kommentarsämne Char"/>
    <w:basedOn w:val="KommentarerChar"/>
    <w:link w:val="Kommentarsmne"/>
    <w:semiHidden/>
    <w:rsid w:val="00CB7C66"/>
    <w:rPr>
      <w:b/>
      <w:bCs/>
      <w:sz w:val="20"/>
      <w:szCs w:val="20"/>
    </w:rPr>
  </w:style>
  <w:style w:type="character" w:styleId="AnvndHyperlnk">
    <w:name w:val="FollowedHyperlink"/>
    <w:basedOn w:val="Standardstycketeckensnitt"/>
    <w:semiHidden/>
    <w:rsid w:val="003A13E2"/>
    <w:rPr>
      <w:color w:val="954F72" w:themeColor="followedHyperlink"/>
      <w:u w:val="single"/>
    </w:rPr>
  </w:style>
  <w:style w:type="paragraph" w:styleId="Revision">
    <w:name w:val="Revision"/>
    <w:hidden/>
    <w:uiPriority w:val="99"/>
    <w:semiHidden/>
    <w:rsid w:val="00AE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28466">
      <w:bodyDiv w:val="1"/>
      <w:marLeft w:val="0"/>
      <w:marRight w:val="0"/>
      <w:marTop w:val="0"/>
      <w:marBottom w:val="0"/>
      <w:divBdr>
        <w:top w:val="none" w:sz="0" w:space="0" w:color="auto"/>
        <w:left w:val="none" w:sz="0" w:space="0" w:color="auto"/>
        <w:bottom w:val="none" w:sz="0" w:space="0" w:color="auto"/>
        <w:right w:val="none" w:sz="0" w:space="0" w:color="auto"/>
      </w:divBdr>
    </w:div>
    <w:div w:id="625543771">
      <w:bodyDiv w:val="1"/>
      <w:marLeft w:val="0"/>
      <w:marRight w:val="0"/>
      <w:marTop w:val="0"/>
      <w:marBottom w:val="0"/>
      <w:divBdr>
        <w:top w:val="none" w:sz="0" w:space="0" w:color="auto"/>
        <w:left w:val="none" w:sz="0" w:space="0" w:color="auto"/>
        <w:bottom w:val="none" w:sz="0" w:space="0" w:color="auto"/>
        <w:right w:val="none" w:sz="0" w:space="0" w:color="auto"/>
      </w:divBdr>
    </w:div>
    <w:div w:id="631860968">
      <w:bodyDiv w:val="1"/>
      <w:marLeft w:val="0"/>
      <w:marRight w:val="0"/>
      <w:marTop w:val="0"/>
      <w:marBottom w:val="0"/>
      <w:divBdr>
        <w:top w:val="none" w:sz="0" w:space="0" w:color="auto"/>
        <w:left w:val="none" w:sz="0" w:space="0" w:color="auto"/>
        <w:bottom w:val="none" w:sz="0" w:space="0" w:color="auto"/>
        <w:right w:val="none" w:sz="0" w:space="0" w:color="auto"/>
      </w:divBdr>
    </w:div>
    <w:div w:id="739254145">
      <w:bodyDiv w:val="1"/>
      <w:marLeft w:val="0"/>
      <w:marRight w:val="0"/>
      <w:marTop w:val="0"/>
      <w:marBottom w:val="0"/>
      <w:divBdr>
        <w:top w:val="none" w:sz="0" w:space="0" w:color="auto"/>
        <w:left w:val="none" w:sz="0" w:space="0" w:color="auto"/>
        <w:bottom w:val="none" w:sz="0" w:space="0" w:color="auto"/>
        <w:right w:val="none" w:sz="0" w:space="0" w:color="auto"/>
      </w:divBdr>
    </w:div>
    <w:div w:id="1069839853">
      <w:bodyDiv w:val="1"/>
      <w:marLeft w:val="0"/>
      <w:marRight w:val="0"/>
      <w:marTop w:val="0"/>
      <w:marBottom w:val="0"/>
      <w:divBdr>
        <w:top w:val="none" w:sz="0" w:space="0" w:color="auto"/>
        <w:left w:val="none" w:sz="0" w:space="0" w:color="auto"/>
        <w:bottom w:val="none" w:sz="0" w:space="0" w:color="auto"/>
        <w:right w:val="none" w:sz="0" w:space="0" w:color="auto"/>
      </w:divBdr>
    </w:div>
    <w:div w:id="1187332656">
      <w:bodyDiv w:val="1"/>
      <w:marLeft w:val="0"/>
      <w:marRight w:val="0"/>
      <w:marTop w:val="0"/>
      <w:marBottom w:val="0"/>
      <w:divBdr>
        <w:top w:val="none" w:sz="0" w:space="0" w:color="auto"/>
        <w:left w:val="none" w:sz="0" w:space="0" w:color="auto"/>
        <w:bottom w:val="none" w:sz="0" w:space="0" w:color="auto"/>
        <w:right w:val="none" w:sz="0" w:space="0" w:color="auto"/>
      </w:divBdr>
    </w:div>
    <w:div w:id="1286811550">
      <w:bodyDiv w:val="1"/>
      <w:marLeft w:val="0"/>
      <w:marRight w:val="0"/>
      <w:marTop w:val="0"/>
      <w:marBottom w:val="0"/>
      <w:divBdr>
        <w:top w:val="none" w:sz="0" w:space="0" w:color="auto"/>
        <w:left w:val="none" w:sz="0" w:space="0" w:color="auto"/>
        <w:bottom w:val="none" w:sz="0" w:space="0" w:color="auto"/>
        <w:right w:val="none" w:sz="0" w:space="0" w:color="auto"/>
      </w:divBdr>
    </w:div>
    <w:div w:id="1495609242">
      <w:bodyDiv w:val="1"/>
      <w:marLeft w:val="0"/>
      <w:marRight w:val="0"/>
      <w:marTop w:val="0"/>
      <w:marBottom w:val="0"/>
      <w:divBdr>
        <w:top w:val="none" w:sz="0" w:space="0" w:color="auto"/>
        <w:left w:val="none" w:sz="0" w:space="0" w:color="auto"/>
        <w:bottom w:val="none" w:sz="0" w:space="0" w:color="auto"/>
        <w:right w:val="none" w:sz="0" w:space="0" w:color="auto"/>
      </w:divBdr>
      <w:divsChild>
        <w:div w:id="704603776">
          <w:marLeft w:val="0"/>
          <w:marRight w:val="0"/>
          <w:marTop w:val="0"/>
          <w:marBottom w:val="0"/>
          <w:divBdr>
            <w:top w:val="none" w:sz="0" w:space="0" w:color="auto"/>
            <w:left w:val="none" w:sz="0" w:space="0" w:color="auto"/>
            <w:bottom w:val="none" w:sz="0" w:space="0" w:color="auto"/>
            <w:right w:val="none" w:sz="0" w:space="0" w:color="auto"/>
          </w:divBdr>
          <w:divsChild>
            <w:div w:id="37632142">
              <w:marLeft w:val="0"/>
              <w:marRight w:val="0"/>
              <w:marTop w:val="0"/>
              <w:marBottom w:val="1800"/>
              <w:divBdr>
                <w:top w:val="none" w:sz="0" w:space="0" w:color="auto"/>
                <w:left w:val="none" w:sz="0" w:space="0" w:color="auto"/>
                <w:bottom w:val="none" w:sz="0" w:space="0" w:color="auto"/>
                <w:right w:val="none" w:sz="0" w:space="0" w:color="auto"/>
              </w:divBdr>
              <w:divsChild>
                <w:div w:id="1979843644">
                  <w:marLeft w:val="0"/>
                  <w:marRight w:val="0"/>
                  <w:marTop w:val="0"/>
                  <w:marBottom w:val="0"/>
                  <w:divBdr>
                    <w:top w:val="none" w:sz="0" w:space="0" w:color="auto"/>
                    <w:left w:val="none" w:sz="0" w:space="0" w:color="auto"/>
                    <w:bottom w:val="none" w:sz="0" w:space="0" w:color="auto"/>
                    <w:right w:val="none" w:sz="0" w:space="0" w:color="auto"/>
                  </w:divBdr>
                  <w:divsChild>
                    <w:div w:id="1559394626">
                      <w:marLeft w:val="0"/>
                      <w:marRight w:val="0"/>
                      <w:marTop w:val="0"/>
                      <w:marBottom w:val="0"/>
                      <w:divBdr>
                        <w:top w:val="none" w:sz="0" w:space="0" w:color="auto"/>
                        <w:left w:val="none" w:sz="0" w:space="0" w:color="auto"/>
                        <w:bottom w:val="none" w:sz="0" w:space="0" w:color="auto"/>
                        <w:right w:val="none" w:sz="0" w:space="0" w:color="auto"/>
                      </w:divBdr>
                      <w:divsChild>
                        <w:div w:id="396363549">
                          <w:marLeft w:val="0"/>
                          <w:marRight w:val="0"/>
                          <w:marTop w:val="0"/>
                          <w:marBottom w:val="0"/>
                          <w:divBdr>
                            <w:top w:val="none" w:sz="0" w:space="0" w:color="auto"/>
                            <w:left w:val="none" w:sz="0" w:space="0" w:color="auto"/>
                            <w:bottom w:val="none" w:sz="0" w:space="0" w:color="auto"/>
                            <w:right w:val="none" w:sz="0" w:space="0" w:color="auto"/>
                          </w:divBdr>
                          <w:divsChild>
                            <w:div w:id="2073381747">
                              <w:marLeft w:val="0"/>
                              <w:marRight w:val="0"/>
                              <w:marTop w:val="0"/>
                              <w:marBottom w:val="0"/>
                              <w:divBdr>
                                <w:top w:val="none" w:sz="0" w:space="0" w:color="auto"/>
                                <w:left w:val="none" w:sz="0" w:space="0" w:color="auto"/>
                                <w:bottom w:val="none" w:sz="0" w:space="0" w:color="auto"/>
                                <w:right w:val="none" w:sz="0" w:space="0" w:color="auto"/>
                              </w:divBdr>
                              <w:divsChild>
                                <w:div w:id="955331771">
                                  <w:marLeft w:val="0"/>
                                  <w:marRight w:val="0"/>
                                  <w:marTop w:val="0"/>
                                  <w:marBottom w:val="0"/>
                                  <w:divBdr>
                                    <w:top w:val="none" w:sz="0" w:space="0" w:color="auto"/>
                                    <w:left w:val="none" w:sz="0" w:space="0" w:color="auto"/>
                                    <w:bottom w:val="none" w:sz="0" w:space="0" w:color="auto"/>
                                    <w:right w:val="none" w:sz="0" w:space="0" w:color="auto"/>
                                  </w:divBdr>
                                  <w:divsChild>
                                    <w:div w:id="348796970">
                                      <w:marLeft w:val="0"/>
                                      <w:marRight w:val="0"/>
                                      <w:marTop w:val="0"/>
                                      <w:marBottom w:val="0"/>
                                      <w:divBdr>
                                        <w:top w:val="none" w:sz="0" w:space="0" w:color="auto"/>
                                        <w:left w:val="none" w:sz="0" w:space="0" w:color="auto"/>
                                        <w:bottom w:val="none" w:sz="0" w:space="0" w:color="auto"/>
                                        <w:right w:val="none" w:sz="0" w:space="0" w:color="auto"/>
                                      </w:divBdr>
                                      <w:divsChild>
                                        <w:div w:id="300155641">
                                          <w:marLeft w:val="-225"/>
                                          <w:marRight w:val="-225"/>
                                          <w:marTop w:val="0"/>
                                          <w:marBottom w:val="0"/>
                                          <w:divBdr>
                                            <w:top w:val="none" w:sz="0" w:space="0" w:color="auto"/>
                                            <w:left w:val="none" w:sz="0" w:space="0" w:color="auto"/>
                                            <w:bottom w:val="none" w:sz="0" w:space="0" w:color="auto"/>
                                            <w:right w:val="none" w:sz="0" w:space="0" w:color="auto"/>
                                          </w:divBdr>
                                          <w:divsChild>
                                            <w:div w:id="1338188663">
                                              <w:marLeft w:val="0"/>
                                              <w:marRight w:val="0"/>
                                              <w:marTop w:val="0"/>
                                              <w:marBottom w:val="0"/>
                                              <w:divBdr>
                                                <w:top w:val="none" w:sz="0" w:space="0" w:color="auto"/>
                                                <w:left w:val="none" w:sz="0" w:space="0" w:color="auto"/>
                                                <w:bottom w:val="none" w:sz="0" w:space="0" w:color="auto"/>
                                                <w:right w:val="none" w:sz="0" w:space="0" w:color="auto"/>
                                              </w:divBdr>
                                              <w:divsChild>
                                                <w:div w:id="1725593427">
                                                  <w:marLeft w:val="0"/>
                                                  <w:marRight w:val="0"/>
                                                  <w:marTop w:val="0"/>
                                                  <w:marBottom w:val="0"/>
                                                  <w:divBdr>
                                                    <w:top w:val="none" w:sz="0" w:space="0" w:color="auto"/>
                                                    <w:left w:val="none" w:sz="0" w:space="0" w:color="auto"/>
                                                    <w:bottom w:val="none" w:sz="0" w:space="0" w:color="auto"/>
                                                    <w:right w:val="none" w:sz="0" w:space="0" w:color="auto"/>
                                                  </w:divBdr>
                                                  <w:divsChild>
                                                    <w:div w:id="62877369">
                                                      <w:marLeft w:val="0"/>
                                                      <w:marRight w:val="0"/>
                                                      <w:marTop w:val="0"/>
                                                      <w:marBottom w:val="0"/>
                                                      <w:divBdr>
                                                        <w:top w:val="none" w:sz="0" w:space="0" w:color="auto"/>
                                                        <w:left w:val="none" w:sz="0" w:space="0" w:color="auto"/>
                                                        <w:bottom w:val="none" w:sz="0" w:space="0" w:color="auto"/>
                                                        <w:right w:val="none" w:sz="0" w:space="0" w:color="auto"/>
                                                      </w:divBdr>
                                                      <w:divsChild>
                                                        <w:div w:id="1762990275">
                                                          <w:marLeft w:val="0"/>
                                                          <w:marRight w:val="0"/>
                                                          <w:marTop w:val="0"/>
                                                          <w:marBottom w:val="0"/>
                                                          <w:divBdr>
                                                            <w:top w:val="none" w:sz="0" w:space="0" w:color="auto"/>
                                                            <w:left w:val="none" w:sz="0" w:space="0" w:color="auto"/>
                                                            <w:bottom w:val="none" w:sz="0" w:space="0" w:color="auto"/>
                                                            <w:right w:val="none" w:sz="0" w:space="0" w:color="auto"/>
                                                          </w:divBdr>
                                                          <w:divsChild>
                                                            <w:div w:id="401216506">
                                                              <w:marLeft w:val="-225"/>
                                                              <w:marRight w:val="-225"/>
                                                              <w:marTop w:val="0"/>
                                                              <w:marBottom w:val="0"/>
                                                              <w:divBdr>
                                                                <w:top w:val="none" w:sz="0" w:space="0" w:color="auto"/>
                                                                <w:left w:val="none" w:sz="0" w:space="0" w:color="auto"/>
                                                                <w:bottom w:val="none" w:sz="0" w:space="0" w:color="auto"/>
                                                                <w:right w:val="none" w:sz="0" w:space="0" w:color="auto"/>
                                                              </w:divBdr>
                                                              <w:divsChild>
                                                                <w:div w:id="2127771299">
                                                                  <w:marLeft w:val="0"/>
                                                                  <w:marRight w:val="0"/>
                                                                  <w:marTop w:val="0"/>
                                                                  <w:marBottom w:val="0"/>
                                                                  <w:divBdr>
                                                                    <w:top w:val="none" w:sz="0" w:space="0" w:color="auto"/>
                                                                    <w:left w:val="none" w:sz="0" w:space="0" w:color="auto"/>
                                                                    <w:bottom w:val="none" w:sz="0" w:space="0" w:color="auto"/>
                                                                    <w:right w:val="none" w:sz="0" w:space="0" w:color="auto"/>
                                                                  </w:divBdr>
                                                                  <w:divsChild>
                                                                    <w:div w:id="755440959">
                                                                      <w:marLeft w:val="0"/>
                                                                      <w:marRight w:val="0"/>
                                                                      <w:marTop w:val="0"/>
                                                                      <w:marBottom w:val="300"/>
                                                                      <w:divBdr>
                                                                        <w:top w:val="none" w:sz="0" w:space="0" w:color="auto"/>
                                                                        <w:left w:val="none" w:sz="0" w:space="0" w:color="auto"/>
                                                                        <w:bottom w:val="none" w:sz="0" w:space="0" w:color="auto"/>
                                                                        <w:right w:val="none" w:sz="0" w:space="0" w:color="auto"/>
                                                                      </w:divBdr>
                                                                      <w:divsChild>
                                                                        <w:div w:id="816146497">
                                                                          <w:marLeft w:val="0"/>
                                                                          <w:marRight w:val="0"/>
                                                                          <w:marTop w:val="0"/>
                                                                          <w:marBottom w:val="0"/>
                                                                          <w:divBdr>
                                                                            <w:top w:val="none" w:sz="0" w:space="0" w:color="auto"/>
                                                                            <w:left w:val="none" w:sz="0" w:space="0" w:color="auto"/>
                                                                            <w:bottom w:val="none" w:sz="0" w:space="0" w:color="auto"/>
                                                                            <w:right w:val="none" w:sz="0" w:space="0" w:color="auto"/>
                                                                          </w:divBdr>
                                                                          <w:divsChild>
                                                                            <w:div w:id="1077434205">
                                                                              <w:marLeft w:val="0"/>
                                                                              <w:marRight w:val="0"/>
                                                                              <w:marTop w:val="0"/>
                                                                              <w:marBottom w:val="0"/>
                                                                              <w:divBdr>
                                                                                <w:top w:val="none" w:sz="0" w:space="0" w:color="auto"/>
                                                                                <w:left w:val="none" w:sz="0" w:space="0" w:color="auto"/>
                                                                                <w:bottom w:val="none" w:sz="0" w:space="0" w:color="auto"/>
                                                                                <w:right w:val="none" w:sz="0" w:space="0" w:color="auto"/>
                                                                              </w:divBdr>
                                                                              <w:divsChild>
                                                                                <w:div w:id="81493059">
                                                                                  <w:marLeft w:val="0"/>
                                                                                  <w:marRight w:val="0"/>
                                                                                  <w:marTop w:val="0"/>
                                                                                  <w:marBottom w:val="0"/>
                                                                                  <w:divBdr>
                                                                                    <w:top w:val="none" w:sz="0" w:space="0" w:color="auto"/>
                                                                                    <w:left w:val="none" w:sz="0" w:space="0" w:color="auto"/>
                                                                                    <w:bottom w:val="none" w:sz="0" w:space="0" w:color="auto"/>
                                                                                    <w:right w:val="none" w:sz="0" w:space="0" w:color="auto"/>
                                                                                  </w:divBdr>
                                                                                  <w:divsChild>
                                                                                    <w:div w:id="17338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81396">
      <w:bodyDiv w:val="1"/>
      <w:marLeft w:val="0"/>
      <w:marRight w:val="0"/>
      <w:marTop w:val="0"/>
      <w:marBottom w:val="0"/>
      <w:divBdr>
        <w:top w:val="none" w:sz="0" w:space="0" w:color="auto"/>
        <w:left w:val="none" w:sz="0" w:space="0" w:color="auto"/>
        <w:bottom w:val="none" w:sz="0" w:space="0" w:color="auto"/>
        <w:right w:val="none" w:sz="0" w:space="0" w:color="auto"/>
      </w:divBdr>
    </w:div>
    <w:div w:id="1518932452">
      <w:bodyDiv w:val="1"/>
      <w:marLeft w:val="0"/>
      <w:marRight w:val="0"/>
      <w:marTop w:val="0"/>
      <w:marBottom w:val="0"/>
      <w:divBdr>
        <w:top w:val="none" w:sz="0" w:space="0" w:color="auto"/>
        <w:left w:val="none" w:sz="0" w:space="0" w:color="auto"/>
        <w:bottom w:val="none" w:sz="0" w:space="0" w:color="auto"/>
        <w:right w:val="none" w:sz="0" w:space="0" w:color="auto"/>
      </w:divBdr>
    </w:div>
    <w:div w:id="1555192209">
      <w:bodyDiv w:val="1"/>
      <w:marLeft w:val="0"/>
      <w:marRight w:val="0"/>
      <w:marTop w:val="0"/>
      <w:marBottom w:val="0"/>
      <w:divBdr>
        <w:top w:val="none" w:sz="0" w:space="0" w:color="auto"/>
        <w:left w:val="none" w:sz="0" w:space="0" w:color="auto"/>
        <w:bottom w:val="none" w:sz="0" w:space="0" w:color="auto"/>
        <w:right w:val="none" w:sz="0" w:space="0" w:color="auto"/>
      </w:divBdr>
    </w:div>
    <w:div w:id="1729495702">
      <w:bodyDiv w:val="1"/>
      <w:marLeft w:val="0"/>
      <w:marRight w:val="0"/>
      <w:marTop w:val="0"/>
      <w:marBottom w:val="0"/>
      <w:divBdr>
        <w:top w:val="none" w:sz="0" w:space="0" w:color="auto"/>
        <w:left w:val="none" w:sz="0" w:space="0" w:color="auto"/>
        <w:bottom w:val="none" w:sz="0" w:space="0" w:color="auto"/>
        <w:right w:val="none" w:sz="0" w:space="0" w:color="auto"/>
      </w:divBdr>
    </w:div>
    <w:div w:id="1795252401">
      <w:bodyDiv w:val="1"/>
      <w:marLeft w:val="0"/>
      <w:marRight w:val="0"/>
      <w:marTop w:val="0"/>
      <w:marBottom w:val="0"/>
      <w:divBdr>
        <w:top w:val="none" w:sz="0" w:space="0" w:color="auto"/>
        <w:left w:val="none" w:sz="0" w:space="0" w:color="auto"/>
        <w:bottom w:val="none" w:sz="0" w:space="0" w:color="auto"/>
        <w:right w:val="none" w:sz="0" w:space="0" w:color="auto"/>
      </w:divBdr>
    </w:div>
    <w:div w:id="19736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n.s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s.oecd.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a0407ab\Desktop\Rubin\2020_1205%20kostnader%20f&#246;r%20FN\Total%20UN%20revenue%20by%20government%20dono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a0407ab\Desktop\Rubin\2020_1205%20kostnader%20f&#246;r%20FN\Bilaga%201%20FN,%20uppgifter%20fr&#229;n%20OECD%20samt%20UD.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a0407ab\Desktop\Rubin\2020_1205%20kostnader%20f&#246;r%20FN\Bilaga%201%20FN,%20uppgifter%20fr&#229;n%20OECD%20samt%20U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036498791999953E-2"/>
          <c:y val="4.4097222222222225E-2"/>
          <c:w val="0.92211145871668376"/>
          <c:h val="0.78332546296296302"/>
        </c:manualLayout>
      </c:layout>
      <c:barChart>
        <c:barDir val="col"/>
        <c:grouping val="clustered"/>
        <c:varyColors val="0"/>
        <c:ser>
          <c:idx val="0"/>
          <c:order val="0"/>
          <c:tx>
            <c:strRef>
              <c:f>'UD_Sverige över tid'!$A$3</c:f>
              <c:strCache>
                <c:ptCount val="1"/>
                <c:pt idx="0">
                  <c:v>Multi-Bi</c:v>
                </c:pt>
              </c:strCache>
            </c:strRef>
          </c:tx>
          <c:spPr>
            <a:solidFill>
              <a:srgbClr val="1C5170"/>
            </a:solidFill>
            <a:ln>
              <a:noFill/>
            </a:ln>
            <a:effectLst/>
          </c:spPr>
          <c:invertIfNegative val="0"/>
          <c:cat>
            <c:numRef>
              <c:f>'UD_Sverige över tid'!$B$2:$J$2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'UD_Sverige över tid'!$B$3:$J$3</c:f>
              <c:numCache>
                <c:formatCode>0</c:formatCode>
                <c:ptCount val="9"/>
                <c:pt idx="0">
                  <c:v>3161.2967532819998</c:v>
                </c:pt>
                <c:pt idx="1">
                  <c:v>4416.0220656250003</c:v>
                </c:pt>
                <c:pt idx="2">
                  <c:v>4219.5222542599995</c:v>
                </c:pt>
                <c:pt idx="3">
                  <c:v>5178.74990058</c:v>
                </c:pt>
                <c:pt idx="4">
                  <c:v>4473.2320853849997</c:v>
                </c:pt>
                <c:pt idx="5">
                  <c:v>5482.7217018720003</c:v>
                </c:pt>
                <c:pt idx="6">
                  <c:v>6468.5875477560003</c:v>
                </c:pt>
                <c:pt idx="7">
                  <c:v>8772.4893744309993</c:v>
                </c:pt>
                <c:pt idx="8">
                  <c:v>9153.7930943000028</c:v>
                </c:pt>
              </c:numCache>
            </c:numRef>
          </c:val>
          <c:extLst>
            <c:ext xmlns:c16="http://schemas.microsoft.com/office/drawing/2014/chart" uri="{C3380CC4-5D6E-409C-BE32-E72D297353CC}">
              <c16:uniqueId val="{00000000-CE2D-4637-97A6-E2A1C91A72A9}"/>
            </c:ext>
          </c:extLst>
        </c:ser>
        <c:ser>
          <c:idx val="1"/>
          <c:order val="1"/>
          <c:tx>
            <c:strRef>
              <c:f>'UD_Sverige över tid'!$A$4</c:f>
              <c:strCache>
                <c:ptCount val="1"/>
                <c:pt idx="0">
                  <c:v>Kärnstöd</c:v>
                </c:pt>
              </c:strCache>
            </c:strRef>
          </c:tx>
          <c:spPr>
            <a:solidFill>
              <a:srgbClr val="C41E3A"/>
            </a:solidFill>
            <a:ln>
              <a:noFill/>
            </a:ln>
            <a:effectLst/>
          </c:spPr>
          <c:invertIfNegative val="0"/>
          <c:cat>
            <c:numRef>
              <c:f>'UD_Sverige över tid'!$B$2:$J$2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'UD_Sverige över tid'!$B$4:$J$4</c:f>
              <c:numCache>
                <c:formatCode>0</c:formatCode>
                <c:ptCount val="9"/>
                <c:pt idx="0">
                  <c:v>4461.1523140179997</c:v>
                </c:pt>
                <c:pt idx="1">
                  <c:v>4398.2639301999998</c:v>
                </c:pt>
                <c:pt idx="2">
                  <c:v>4912.1148686300003</c:v>
                </c:pt>
                <c:pt idx="3">
                  <c:v>4297.9463568359997</c:v>
                </c:pt>
                <c:pt idx="4">
                  <c:v>6498.3853224500008</c:v>
                </c:pt>
                <c:pt idx="5">
                  <c:v>4215.9499481399998</c:v>
                </c:pt>
                <c:pt idx="6">
                  <c:v>5731.1427204020001</c:v>
                </c:pt>
                <c:pt idx="7">
                  <c:v>7209.9930898889988</c:v>
                </c:pt>
                <c:pt idx="8">
                  <c:v>6636.6163528579018</c:v>
                </c:pt>
              </c:numCache>
            </c:numRef>
          </c:val>
          <c:extLst>
            <c:ext xmlns:c16="http://schemas.microsoft.com/office/drawing/2014/chart" uri="{C3380CC4-5D6E-409C-BE32-E72D297353CC}">
              <c16:uniqueId val="{00000001-CE2D-4637-97A6-E2A1C91A72A9}"/>
            </c:ext>
          </c:extLst>
        </c:ser>
        <c:ser>
          <c:idx val="2"/>
          <c:order val="2"/>
          <c:tx>
            <c:strRef>
              <c:f>'UD_Sverige över tid'!$A$5</c:f>
              <c:strCache>
                <c:ptCount val="1"/>
                <c:pt idx="0">
                  <c:v>Totalt bistånd</c:v>
                </c:pt>
              </c:strCache>
            </c:strRef>
          </c:tx>
          <c:spPr>
            <a:solidFill>
              <a:srgbClr val="75B2DD"/>
            </a:solidFill>
            <a:ln>
              <a:noFill/>
            </a:ln>
            <a:effectLst/>
          </c:spPr>
          <c:invertIfNegative val="0"/>
          <c:cat>
            <c:numRef>
              <c:f>'UD_Sverige över tid'!$B$2:$J$2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'UD_Sverige över tid'!$B$5:$J$5</c:f>
              <c:numCache>
                <c:formatCode>0</c:formatCode>
                <c:ptCount val="9"/>
                <c:pt idx="0">
                  <c:v>7622.4490673</c:v>
                </c:pt>
                <c:pt idx="1">
                  <c:v>8814.285995825001</c:v>
                </c:pt>
                <c:pt idx="2">
                  <c:v>9131.6371228899989</c:v>
                </c:pt>
                <c:pt idx="3">
                  <c:v>9476.6962574159988</c:v>
                </c:pt>
                <c:pt idx="4">
                  <c:v>10971.617407835001</c:v>
                </c:pt>
                <c:pt idx="5">
                  <c:v>9698.6716500120001</c:v>
                </c:pt>
                <c:pt idx="6">
                  <c:v>12199.730268158</c:v>
                </c:pt>
                <c:pt idx="7">
                  <c:v>15982.482464319997</c:v>
                </c:pt>
                <c:pt idx="8">
                  <c:v>15790.409447157905</c:v>
                </c:pt>
              </c:numCache>
            </c:numRef>
          </c:val>
          <c:extLst>
            <c:ext xmlns:c16="http://schemas.microsoft.com/office/drawing/2014/chart" uri="{C3380CC4-5D6E-409C-BE32-E72D297353CC}">
              <c16:uniqueId val="{00000002-CE2D-4637-97A6-E2A1C91A72A9}"/>
            </c:ext>
          </c:extLst>
        </c:ser>
        <c:ser>
          <c:idx val="3"/>
          <c:order val="3"/>
          <c:tx>
            <c:strRef>
              <c:f>'UD_Sverige över tid'!$A$6</c:f>
              <c:strCache>
                <c:ptCount val="1"/>
                <c:pt idx="0">
                  <c:v>Ej bistånd</c:v>
                </c:pt>
              </c:strCache>
            </c:strRef>
          </c:tx>
          <c:spPr>
            <a:solidFill>
              <a:srgbClr val="E28C05"/>
            </a:solidFill>
            <a:ln>
              <a:noFill/>
            </a:ln>
            <a:effectLst/>
          </c:spPr>
          <c:invertIfNegative val="0"/>
          <c:cat>
            <c:numRef>
              <c:f>'UD_Sverige över tid'!$B$2:$J$2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'UD_Sverige över tid'!$B$6:$J$6</c:f>
              <c:numCache>
                <c:formatCode>0</c:formatCode>
                <c:ptCount val="9"/>
                <c:pt idx="0">
                  <c:v>750.43277009999997</c:v>
                </c:pt>
                <c:pt idx="1">
                  <c:v>466.71990763999997</c:v>
                </c:pt>
                <c:pt idx="2">
                  <c:v>744.89374134999991</c:v>
                </c:pt>
                <c:pt idx="3">
                  <c:v>561.89548173890012</c:v>
                </c:pt>
                <c:pt idx="4">
                  <c:v>835.02067818460011</c:v>
                </c:pt>
                <c:pt idx="5">
                  <c:v>941.84148640710009</c:v>
                </c:pt>
                <c:pt idx="6">
                  <c:v>751.21368406820011</c:v>
                </c:pt>
                <c:pt idx="7">
                  <c:v>579.84474464309847</c:v>
                </c:pt>
                <c:pt idx="8">
                  <c:v>890.94681591210008</c:v>
                </c:pt>
              </c:numCache>
            </c:numRef>
          </c:val>
          <c:extLst>
            <c:ext xmlns:c16="http://schemas.microsoft.com/office/drawing/2014/chart" uri="{C3380CC4-5D6E-409C-BE32-E72D297353CC}">
              <c16:uniqueId val="{00000003-CE2D-4637-97A6-E2A1C91A72A9}"/>
            </c:ext>
          </c:extLst>
        </c:ser>
        <c:ser>
          <c:idx val="4"/>
          <c:order val="4"/>
          <c:tx>
            <c:strRef>
              <c:f>'UD_Sverige över tid'!$A$7</c:f>
              <c:strCache>
                <c:ptCount val="1"/>
                <c:pt idx="0">
                  <c:v>Samlat stöd till FN</c:v>
                </c:pt>
              </c:strCache>
            </c:strRef>
          </c:tx>
          <c:spPr>
            <a:solidFill>
              <a:srgbClr val="3A7728"/>
            </a:solidFill>
            <a:ln>
              <a:noFill/>
            </a:ln>
            <a:effectLst/>
          </c:spPr>
          <c:invertIfNegative val="0"/>
          <c:cat>
            <c:numRef>
              <c:f>'UD_Sverige över tid'!$B$2:$J$2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'UD_Sverige över tid'!$B$7:$J$7</c:f>
              <c:numCache>
                <c:formatCode>0</c:formatCode>
                <c:ptCount val="9"/>
                <c:pt idx="0">
                  <c:v>8372.8818374000002</c:v>
                </c:pt>
                <c:pt idx="1">
                  <c:v>9281.0059034650003</c:v>
                </c:pt>
                <c:pt idx="2">
                  <c:v>9876.5308642399996</c:v>
                </c:pt>
                <c:pt idx="3">
                  <c:v>10038.591739154899</c:v>
                </c:pt>
                <c:pt idx="4">
                  <c:v>11806.638086019602</c:v>
                </c:pt>
                <c:pt idx="5">
                  <c:v>10640.5131364191</c:v>
                </c:pt>
                <c:pt idx="6">
                  <c:v>12950.9439522262</c:v>
                </c:pt>
                <c:pt idx="7">
                  <c:v>16562.327208963095</c:v>
                </c:pt>
                <c:pt idx="8">
                  <c:v>16681.356263070003</c:v>
                </c:pt>
              </c:numCache>
            </c:numRef>
          </c:val>
          <c:extLst>
            <c:ext xmlns:c16="http://schemas.microsoft.com/office/drawing/2014/chart" uri="{C3380CC4-5D6E-409C-BE32-E72D297353CC}">
              <c16:uniqueId val="{00000004-CE2D-4637-97A6-E2A1C91A72A9}"/>
            </c:ext>
          </c:extLst>
        </c:ser>
        <c:dLbls>
          <c:showLegendKey val="0"/>
          <c:showVal val="0"/>
          <c:showCatName val="0"/>
          <c:showSerName val="0"/>
          <c:showPercent val="0"/>
          <c:showBubbleSize val="0"/>
        </c:dLbls>
        <c:gapWidth val="150"/>
        <c:axId val="572216472"/>
        <c:axId val="572217456"/>
      </c:barChart>
      <c:catAx>
        <c:axId val="572216472"/>
        <c:scaling>
          <c:orientation val="minMax"/>
        </c:scaling>
        <c:delete val="0"/>
        <c:axPos val="b"/>
        <c:numFmt formatCode="General" sourceLinked="1"/>
        <c:majorTickMark val="cross"/>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572217456"/>
        <c:crosses val="autoZero"/>
        <c:auto val="1"/>
        <c:lblAlgn val="ctr"/>
        <c:lblOffset val="100"/>
        <c:noMultiLvlLbl val="0"/>
      </c:catAx>
      <c:valAx>
        <c:axId val="572217456"/>
        <c:scaling>
          <c:orientation val="minMax"/>
        </c:scaling>
        <c:delete val="0"/>
        <c:axPos val="l"/>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sv-SE"/>
          </a:p>
        </c:txPr>
        <c:crossAx val="572216472"/>
        <c:crosses val="autoZero"/>
        <c:crossBetween val="between"/>
      </c:valAx>
      <c:spPr>
        <a:noFill/>
        <a:ln>
          <a:noFill/>
        </a:ln>
        <a:effectLst/>
      </c:spPr>
    </c:plotArea>
    <c:legend>
      <c:legendPos val="b"/>
      <c:layout>
        <c:manualLayout>
          <c:xMode val="edge"/>
          <c:yMode val="edge"/>
          <c:x val="0"/>
          <c:y val="0.91043351801887951"/>
          <c:w val="1"/>
          <c:h val="8.75322127850508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614837593695943E-2"/>
          <c:y val="3.2337962962962964E-2"/>
          <c:w val="0.92281068614261008"/>
          <c:h val="0.62023440712466893"/>
        </c:manualLayout>
      </c:layout>
      <c:lineChart>
        <c:grouping val="standard"/>
        <c:varyColors val="0"/>
        <c:ser>
          <c:idx val="0"/>
          <c:order val="0"/>
          <c:tx>
            <c:strRef>
              <c:f>'RUTs bearbetning Tabell 4 och 5'!$A$36</c:f>
              <c:strCache>
                <c:ptCount val="1"/>
                <c:pt idx="0">
                  <c:v>Germany</c:v>
                </c:pt>
              </c:strCache>
            </c:strRef>
          </c:tx>
          <c:spPr>
            <a:ln w="28575" cap="rnd">
              <a:solidFill>
                <a:srgbClr val="1C5170"/>
              </a:solidFill>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5'!$B$36:$I$36</c:f>
              <c:numCache>
                <c:formatCode>#,##0</c:formatCode>
                <c:ptCount val="8"/>
                <c:pt idx="0">
                  <c:v>562.75617399999999</c:v>
                </c:pt>
                <c:pt idx="1">
                  <c:v>519.30819900000006</c:v>
                </c:pt>
                <c:pt idx="2">
                  <c:v>785.07101899999998</c:v>
                </c:pt>
                <c:pt idx="3">
                  <c:v>951.19608100000005</c:v>
                </c:pt>
                <c:pt idx="4">
                  <c:v>990.50002200000006</c:v>
                </c:pt>
                <c:pt idx="5">
                  <c:v>2529.1470210000002</c:v>
                </c:pt>
                <c:pt idx="6">
                  <c:v>3092.6895500000001</c:v>
                </c:pt>
                <c:pt idx="7">
                  <c:v>3167.6284859999996</c:v>
                </c:pt>
              </c:numCache>
            </c:numRef>
          </c:val>
          <c:smooth val="0"/>
          <c:extLst>
            <c:ext xmlns:c16="http://schemas.microsoft.com/office/drawing/2014/chart" uri="{C3380CC4-5D6E-409C-BE32-E72D297353CC}">
              <c16:uniqueId val="{00000000-8967-44B4-A3DE-ABCC032DBDE4}"/>
            </c:ext>
          </c:extLst>
        </c:ser>
        <c:ser>
          <c:idx val="1"/>
          <c:order val="1"/>
          <c:tx>
            <c:strRef>
              <c:f>'RUTs bearbetning Tabell 4 och 5'!$A$37</c:f>
              <c:strCache>
                <c:ptCount val="1"/>
                <c:pt idx="0">
                  <c:v>United Kingdom</c:v>
                </c:pt>
              </c:strCache>
            </c:strRef>
          </c:tx>
          <c:spPr>
            <a:ln w="28575" cap="rnd">
              <a:solidFill>
                <a:srgbClr val="C41E3A"/>
              </a:solidFill>
              <a:prstDash val="solid"/>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5'!$B$37:$I$37</c:f>
              <c:numCache>
                <c:formatCode>#,##0</c:formatCode>
                <c:ptCount val="8"/>
                <c:pt idx="0">
                  <c:v>2047.1679049999998</c:v>
                </c:pt>
                <c:pt idx="1">
                  <c:v>1881.1366619999999</c:v>
                </c:pt>
                <c:pt idx="2">
                  <c:v>2569.8460329999998</c:v>
                </c:pt>
                <c:pt idx="3">
                  <c:v>2941.172877</c:v>
                </c:pt>
                <c:pt idx="4">
                  <c:v>2725.686009</c:v>
                </c:pt>
                <c:pt idx="5">
                  <c:v>2650.1150500000003</c:v>
                </c:pt>
                <c:pt idx="6">
                  <c:v>2625.4150159999999</c:v>
                </c:pt>
                <c:pt idx="7">
                  <c:v>3053.3870310000002</c:v>
                </c:pt>
              </c:numCache>
            </c:numRef>
          </c:val>
          <c:smooth val="0"/>
          <c:extLst>
            <c:ext xmlns:c16="http://schemas.microsoft.com/office/drawing/2014/chart" uri="{C3380CC4-5D6E-409C-BE32-E72D297353CC}">
              <c16:uniqueId val="{00000001-8967-44B4-A3DE-ABCC032DBDE4}"/>
            </c:ext>
          </c:extLst>
        </c:ser>
        <c:ser>
          <c:idx val="2"/>
          <c:order val="2"/>
          <c:tx>
            <c:strRef>
              <c:f>'RUTs bearbetning Tabell 4 och 5'!$A$38</c:f>
              <c:strCache>
                <c:ptCount val="1"/>
                <c:pt idx="0">
                  <c:v>Sweden</c:v>
                </c:pt>
              </c:strCache>
            </c:strRef>
          </c:tx>
          <c:spPr>
            <a:ln w="28575" cap="rnd">
              <a:solidFill>
                <a:srgbClr val="75B2DD"/>
              </a:solidFill>
              <a:prstDash val="solid"/>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5'!$B$38:$I$38</c:f>
              <c:numCache>
                <c:formatCode>#,##0</c:formatCode>
                <c:ptCount val="8"/>
                <c:pt idx="0">
                  <c:v>1173.7679499999999</c:v>
                </c:pt>
                <c:pt idx="1">
                  <c:v>1301.0016230000001</c:v>
                </c:pt>
                <c:pt idx="2">
                  <c:v>1401.8478849999999</c:v>
                </c:pt>
                <c:pt idx="3">
                  <c:v>1381.241256</c:v>
                </c:pt>
                <c:pt idx="4">
                  <c:v>1300.7252410000001</c:v>
                </c:pt>
                <c:pt idx="5">
                  <c:v>1132.757726</c:v>
                </c:pt>
                <c:pt idx="6">
                  <c:v>1427.035942</c:v>
                </c:pt>
                <c:pt idx="7">
                  <c:v>1838.5462399999999</c:v>
                </c:pt>
              </c:numCache>
            </c:numRef>
          </c:val>
          <c:smooth val="0"/>
          <c:extLst>
            <c:ext xmlns:c16="http://schemas.microsoft.com/office/drawing/2014/chart" uri="{C3380CC4-5D6E-409C-BE32-E72D297353CC}">
              <c16:uniqueId val="{00000002-8967-44B4-A3DE-ABCC032DBDE4}"/>
            </c:ext>
          </c:extLst>
        </c:ser>
        <c:ser>
          <c:idx val="3"/>
          <c:order val="3"/>
          <c:tx>
            <c:strRef>
              <c:f>'RUTs bearbetning Tabell 4 och 5'!$A$39</c:f>
              <c:strCache>
                <c:ptCount val="1"/>
                <c:pt idx="0">
                  <c:v>Norway</c:v>
                </c:pt>
              </c:strCache>
            </c:strRef>
          </c:tx>
          <c:spPr>
            <a:ln w="28575" cap="rnd">
              <a:solidFill>
                <a:srgbClr val="E28C05"/>
              </a:solidFill>
              <a:prstDash val="solid"/>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5'!$B$39:$I$39</c:f>
              <c:numCache>
                <c:formatCode>#,##0</c:formatCode>
                <c:ptCount val="8"/>
                <c:pt idx="0">
                  <c:v>1254.729081</c:v>
                </c:pt>
                <c:pt idx="1">
                  <c:v>1198.31638</c:v>
                </c:pt>
                <c:pt idx="2">
                  <c:v>1368.0533809999999</c:v>
                </c:pt>
                <c:pt idx="3">
                  <c:v>1191.0203160000001</c:v>
                </c:pt>
                <c:pt idx="4">
                  <c:v>1012.112661</c:v>
                </c:pt>
                <c:pt idx="5">
                  <c:v>980.59233900000004</c:v>
                </c:pt>
                <c:pt idx="6">
                  <c:v>1138.518343</c:v>
                </c:pt>
                <c:pt idx="7">
                  <c:v>1287.9170960000001</c:v>
                </c:pt>
              </c:numCache>
            </c:numRef>
          </c:val>
          <c:smooth val="0"/>
          <c:extLst>
            <c:ext xmlns:c16="http://schemas.microsoft.com/office/drawing/2014/chart" uri="{C3380CC4-5D6E-409C-BE32-E72D297353CC}">
              <c16:uniqueId val="{00000003-8967-44B4-A3DE-ABCC032DBDE4}"/>
            </c:ext>
          </c:extLst>
        </c:ser>
        <c:ser>
          <c:idx val="4"/>
          <c:order val="4"/>
          <c:tx>
            <c:strRef>
              <c:f>'RUTs bearbetning Tabell 4 och 5'!$A$40</c:f>
              <c:strCache>
                <c:ptCount val="1"/>
                <c:pt idx="0">
                  <c:v>Netherlands</c:v>
                </c:pt>
              </c:strCache>
            </c:strRef>
          </c:tx>
          <c:spPr>
            <a:ln w="28575" cap="rnd">
              <a:solidFill>
                <a:srgbClr val="3A7728"/>
              </a:solidFill>
              <a:prstDash val="solid"/>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5'!$B$40:$I$40</c:f>
              <c:numCache>
                <c:formatCode>#,##0</c:formatCode>
                <c:ptCount val="8"/>
                <c:pt idx="0">
                  <c:v>1015.76708</c:v>
                </c:pt>
                <c:pt idx="1">
                  <c:v>903.23950100000002</c:v>
                </c:pt>
                <c:pt idx="2">
                  <c:v>918.15929600000004</c:v>
                </c:pt>
                <c:pt idx="3">
                  <c:v>844.69925799999999</c:v>
                </c:pt>
                <c:pt idx="4">
                  <c:v>781.09907900000007</c:v>
                </c:pt>
                <c:pt idx="5">
                  <c:v>851.70313199999998</c:v>
                </c:pt>
                <c:pt idx="6">
                  <c:v>824.38398400000005</c:v>
                </c:pt>
                <c:pt idx="7">
                  <c:v>1008.900631</c:v>
                </c:pt>
              </c:numCache>
            </c:numRef>
          </c:val>
          <c:smooth val="0"/>
          <c:extLst>
            <c:ext xmlns:c16="http://schemas.microsoft.com/office/drawing/2014/chart" uri="{C3380CC4-5D6E-409C-BE32-E72D297353CC}">
              <c16:uniqueId val="{00000004-8967-44B4-A3DE-ABCC032DBDE4}"/>
            </c:ext>
          </c:extLst>
        </c:ser>
        <c:ser>
          <c:idx val="5"/>
          <c:order val="5"/>
          <c:tx>
            <c:strRef>
              <c:f>'RUTs bearbetning Tabell 4 och 5'!$A$41</c:f>
              <c:strCache>
                <c:ptCount val="1"/>
                <c:pt idx="0">
                  <c:v>Denmark</c:v>
                </c:pt>
              </c:strCache>
            </c:strRef>
          </c:tx>
          <c:spPr>
            <a:ln w="28575" cap="rnd">
              <a:solidFill>
                <a:srgbClr val="000000"/>
              </a:solidFill>
              <a:prstDash val="solid"/>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5'!$B$41:$I$41</c:f>
              <c:numCache>
                <c:formatCode>#,##0</c:formatCode>
                <c:ptCount val="8"/>
                <c:pt idx="0">
                  <c:v>468.58779099999998</c:v>
                </c:pt>
                <c:pt idx="1">
                  <c:v>480.20156099999997</c:v>
                </c:pt>
                <c:pt idx="2">
                  <c:v>542.97688799999992</c:v>
                </c:pt>
                <c:pt idx="3">
                  <c:v>659.79585900000006</c:v>
                </c:pt>
                <c:pt idx="4">
                  <c:v>410.849896</c:v>
                </c:pt>
                <c:pt idx="5">
                  <c:v>416.58572300000003</c:v>
                </c:pt>
                <c:pt idx="6">
                  <c:v>547.89955299999997</c:v>
                </c:pt>
                <c:pt idx="7">
                  <c:v>574.01258800000005</c:v>
                </c:pt>
              </c:numCache>
            </c:numRef>
          </c:val>
          <c:smooth val="0"/>
          <c:extLst>
            <c:ext xmlns:c16="http://schemas.microsoft.com/office/drawing/2014/chart" uri="{C3380CC4-5D6E-409C-BE32-E72D297353CC}">
              <c16:uniqueId val="{00000005-8967-44B4-A3DE-ABCC032DBDE4}"/>
            </c:ext>
          </c:extLst>
        </c:ser>
        <c:ser>
          <c:idx val="6"/>
          <c:order val="6"/>
          <c:tx>
            <c:strRef>
              <c:f>'RUTs bearbetning Tabell 4 och 5'!$A$42</c:f>
              <c:strCache>
                <c:ptCount val="1"/>
                <c:pt idx="0">
                  <c:v>France</c:v>
                </c:pt>
              </c:strCache>
            </c:strRef>
          </c:tx>
          <c:spPr>
            <a:ln w="28575" cap="rnd">
              <a:solidFill>
                <a:srgbClr val="E0ED44"/>
              </a:solidFill>
              <a:prstDash val="solid"/>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5'!$B$42:$I$42</c:f>
              <c:numCache>
                <c:formatCode>#,##0</c:formatCode>
                <c:ptCount val="8"/>
                <c:pt idx="0">
                  <c:v>319.71785399999999</c:v>
                </c:pt>
                <c:pt idx="1">
                  <c:v>278.802999</c:v>
                </c:pt>
                <c:pt idx="2">
                  <c:v>320.74013200000002</c:v>
                </c:pt>
                <c:pt idx="3">
                  <c:v>283.88375200000002</c:v>
                </c:pt>
                <c:pt idx="4">
                  <c:v>306.31724600000001</c:v>
                </c:pt>
                <c:pt idx="5">
                  <c:v>315.48053800000002</c:v>
                </c:pt>
                <c:pt idx="6">
                  <c:v>314.15183000000002</c:v>
                </c:pt>
                <c:pt idx="7">
                  <c:v>476.61332900000002</c:v>
                </c:pt>
              </c:numCache>
            </c:numRef>
          </c:val>
          <c:smooth val="0"/>
          <c:extLst>
            <c:ext xmlns:c16="http://schemas.microsoft.com/office/drawing/2014/chart" uri="{C3380CC4-5D6E-409C-BE32-E72D297353CC}">
              <c16:uniqueId val="{00000006-8967-44B4-A3DE-ABCC032DBDE4}"/>
            </c:ext>
          </c:extLst>
        </c:ser>
        <c:ser>
          <c:idx val="7"/>
          <c:order val="7"/>
          <c:tx>
            <c:strRef>
              <c:f>'RUTs bearbetning Tabell 4 och 5'!$A$43</c:f>
              <c:strCache>
                <c:ptCount val="1"/>
                <c:pt idx="0">
                  <c:v>Italy</c:v>
                </c:pt>
              </c:strCache>
            </c:strRef>
          </c:tx>
          <c:spPr>
            <a:ln w="28575" cap="rnd">
              <a:solidFill>
                <a:srgbClr val="755426"/>
              </a:solidFill>
              <a:prstDash val="solid"/>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5'!$B$43:$I$43</c:f>
              <c:numCache>
                <c:formatCode>#,##0</c:formatCode>
                <c:ptCount val="8"/>
                <c:pt idx="0">
                  <c:v>225.75845199999998</c:v>
                </c:pt>
                <c:pt idx="1">
                  <c:v>231.54388399999999</c:v>
                </c:pt>
                <c:pt idx="2">
                  <c:v>297.82237800000001</c:v>
                </c:pt>
                <c:pt idx="3">
                  <c:v>321.05246899999997</c:v>
                </c:pt>
                <c:pt idx="4">
                  <c:v>333.57728499999996</c:v>
                </c:pt>
                <c:pt idx="5">
                  <c:v>277.90213999999997</c:v>
                </c:pt>
                <c:pt idx="6">
                  <c:v>422.90384799999998</c:v>
                </c:pt>
                <c:pt idx="7">
                  <c:v>458.88781200000005</c:v>
                </c:pt>
              </c:numCache>
            </c:numRef>
          </c:val>
          <c:smooth val="0"/>
          <c:extLst>
            <c:ext xmlns:c16="http://schemas.microsoft.com/office/drawing/2014/chart" uri="{C3380CC4-5D6E-409C-BE32-E72D297353CC}">
              <c16:uniqueId val="{00000007-8967-44B4-A3DE-ABCC032DBDE4}"/>
            </c:ext>
          </c:extLst>
        </c:ser>
        <c:ser>
          <c:idx val="8"/>
          <c:order val="8"/>
          <c:tx>
            <c:strRef>
              <c:f>'RUTs bearbetning Tabell 4 och 5'!$A$44</c:f>
              <c:strCache>
                <c:ptCount val="1"/>
                <c:pt idx="0">
                  <c:v>Belgium</c:v>
                </c:pt>
              </c:strCache>
            </c:strRef>
          </c:tx>
          <c:spPr>
            <a:ln w="28575" cap="rnd">
              <a:solidFill>
                <a:schemeClr val="accent3">
                  <a:lumMod val="60000"/>
                </a:schemeClr>
              </a:solidFill>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5'!$B$44:$I$44</c:f>
              <c:numCache>
                <c:formatCode>#,##0</c:formatCode>
                <c:ptCount val="8"/>
                <c:pt idx="0">
                  <c:v>370.146817</c:v>
                </c:pt>
                <c:pt idx="1">
                  <c:v>227.11255599999998</c:v>
                </c:pt>
                <c:pt idx="2">
                  <c:v>289.54560600000002</c:v>
                </c:pt>
                <c:pt idx="3">
                  <c:v>349.52423099999999</c:v>
                </c:pt>
                <c:pt idx="4">
                  <c:v>250.28030699999999</c:v>
                </c:pt>
                <c:pt idx="5">
                  <c:v>286.14491699999996</c:v>
                </c:pt>
                <c:pt idx="6">
                  <c:v>266.77301699999998</c:v>
                </c:pt>
                <c:pt idx="7">
                  <c:v>290.24836800000003</c:v>
                </c:pt>
              </c:numCache>
            </c:numRef>
          </c:val>
          <c:smooth val="0"/>
          <c:extLst>
            <c:ext xmlns:c16="http://schemas.microsoft.com/office/drawing/2014/chart" uri="{C3380CC4-5D6E-409C-BE32-E72D297353CC}">
              <c16:uniqueId val="{00000008-8967-44B4-A3DE-ABCC032DBDE4}"/>
            </c:ext>
          </c:extLst>
        </c:ser>
        <c:ser>
          <c:idx val="9"/>
          <c:order val="9"/>
          <c:tx>
            <c:strRef>
              <c:f>'RUTs bearbetning Tabell 4 och 5'!$A$45</c:f>
              <c:strCache>
                <c:ptCount val="1"/>
                <c:pt idx="0">
                  <c:v>Ireland</c:v>
                </c:pt>
              </c:strCache>
            </c:strRef>
          </c:tx>
          <c:spPr>
            <a:ln w="28575" cap="rnd">
              <a:solidFill>
                <a:schemeClr val="accent4">
                  <a:lumMod val="60000"/>
                </a:schemeClr>
              </a:solidFill>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5'!$B$45:$I$45</c:f>
              <c:numCache>
                <c:formatCode>#,##0</c:formatCode>
                <c:ptCount val="8"/>
                <c:pt idx="0">
                  <c:v>170.02918199999999</c:v>
                </c:pt>
                <c:pt idx="1">
                  <c:v>179.99462399999999</c:v>
                </c:pt>
                <c:pt idx="2">
                  <c:v>174.807929</c:v>
                </c:pt>
                <c:pt idx="3">
                  <c:v>167.72586899999999</c:v>
                </c:pt>
                <c:pt idx="4">
                  <c:v>153.24597299999999</c:v>
                </c:pt>
                <c:pt idx="5">
                  <c:v>208.44334700000002</c:v>
                </c:pt>
                <c:pt idx="6">
                  <c:v>176.22793000000001</c:v>
                </c:pt>
                <c:pt idx="7">
                  <c:v>211.85772600000001</c:v>
                </c:pt>
              </c:numCache>
            </c:numRef>
          </c:val>
          <c:smooth val="0"/>
          <c:extLst>
            <c:ext xmlns:c16="http://schemas.microsoft.com/office/drawing/2014/chart" uri="{C3380CC4-5D6E-409C-BE32-E72D297353CC}">
              <c16:uniqueId val="{00000009-8967-44B4-A3DE-ABCC032DBDE4}"/>
            </c:ext>
          </c:extLst>
        </c:ser>
        <c:ser>
          <c:idx val="10"/>
          <c:order val="10"/>
          <c:tx>
            <c:strRef>
              <c:f>'RUTs bearbetning Tabell 4 och 5'!$A$46</c:f>
              <c:strCache>
                <c:ptCount val="1"/>
                <c:pt idx="0">
                  <c:v>Finland</c:v>
                </c:pt>
              </c:strCache>
            </c:strRef>
          </c:tx>
          <c:spPr>
            <a:ln w="28575" cap="rnd">
              <a:solidFill>
                <a:schemeClr val="accent5">
                  <a:lumMod val="60000"/>
                </a:schemeClr>
              </a:solidFill>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5'!$B$46:$I$46</c:f>
              <c:numCache>
                <c:formatCode>#,##0</c:formatCode>
                <c:ptCount val="8"/>
                <c:pt idx="0">
                  <c:v>325.38892799999996</c:v>
                </c:pt>
                <c:pt idx="1">
                  <c:v>309.29462599999999</c:v>
                </c:pt>
                <c:pt idx="2">
                  <c:v>367.801806</c:v>
                </c:pt>
                <c:pt idx="3">
                  <c:v>442.14034200000003</c:v>
                </c:pt>
                <c:pt idx="4">
                  <c:v>304.70189400000004</c:v>
                </c:pt>
                <c:pt idx="5">
                  <c:v>224.49371199999999</c:v>
                </c:pt>
                <c:pt idx="6">
                  <c:v>177.9504</c:v>
                </c:pt>
                <c:pt idx="7">
                  <c:v>183.33334600000001</c:v>
                </c:pt>
              </c:numCache>
            </c:numRef>
          </c:val>
          <c:smooth val="0"/>
          <c:extLst>
            <c:ext xmlns:c16="http://schemas.microsoft.com/office/drawing/2014/chart" uri="{C3380CC4-5D6E-409C-BE32-E72D297353CC}">
              <c16:uniqueId val="{0000000A-8967-44B4-A3DE-ABCC032DBDE4}"/>
            </c:ext>
          </c:extLst>
        </c:ser>
        <c:ser>
          <c:idx val="11"/>
          <c:order val="11"/>
          <c:tx>
            <c:strRef>
              <c:f>'RUTs bearbetning Tabell 4 och 5'!$A$47</c:f>
              <c:strCache>
                <c:ptCount val="1"/>
                <c:pt idx="0">
                  <c:v>Iceland</c:v>
                </c:pt>
              </c:strCache>
            </c:strRef>
          </c:tx>
          <c:spPr>
            <a:ln w="28575" cap="rnd">
              <a:solidFill>
                <a:schemeClr val="accent6">
                  <a:lumMod val="60000"/>
                </a:schemeClr>
              </a:solidFill>
              <a:round/>
            </a:ln>
            <a:effectLst/>
          </c:spPr>
          <c:marker>
            <c:symbol val="none"/>
          </c:marker>
          <c:cat>
            <c:numRef>
              <c:f>'RUTs bearbetning Tabell 4 och 5'!$B$35:$I$35</c:f>
              <c:numCache>
                <c:formatCode>General</c:formatCode>
                <c:ptCount val="8"/>
                <c:pt idx="0">
                  <c:v>2011</c:v>
                </c:pt>
                <c:pt idx="1">
                  <c:v>2012</c:v>
                </c:pt>
                <c:pt idx="2">
                  <c:v>2013</c:v>
                </c:pt>
                <c:pt idx="3">
                  <c:v>2014</c:v>
                </c:pt>
                <c:pt idx="4">
                  <c:v>2015</c:v>
                </c:pt>
                <c:pt idx="5">
                  <c:v>2016</c:v>
                </c:pt>
                <c:pt idx="6">
                  <c:v>2017</c:v>
                </c:pt>
                <c:pt idx="7">
                  <c:v>2018</c:v>
                </c:pt>
              </c:numCache>
            </c:numRef>
          </c:cat>
          <c:val>
            <c:numRef>
              <c:f>'RUTs bearbetning Tabell 4 och 5'!$B$47:$I$47</c:f>
              <c:numCache>
                <c:formatCode>#,##0</c:formatCode>
                <c:ptCount val="8"/>
                <c:pt idx="0">
                  <c:v>9.1902349999999995</c:v>
                </c:pt>
                <c:pt idx="1">
                  <c:v>9.028886</c:v>
                </c:pt>
                <c:pt idx="2">
                  <c:v>11.295802</c:v>
                </c:pt>
                <c:pt idx="3">
                  <c:v>11.175005000000001</c:v>
                </c:pt>
                <c:pt idx="4">
                  <c:v>11.274563000000001</c:v>
                </c:pt>
                <c:pt idx="5">
                  <c:v>13.970647</c:v>
                </c:pt>
                <c:pt idx="6">
                  <c:v>18.843207</c:v>
                </c:pt>
                <c:pt idx="7">
                  <c:v>25.707260999999999</c:v>
                </c:pt>
              </c:numCache>
            </c:numRef>
          </c:val>
          <c:smooth val="0"/>
          <c:extLst>
            <c:ext xmlns:c16="http://schemas.microsoft.com/office/drawing/2014/chart" uri="{C3380CC4-5D6E-409C-BE32-E72D297353CC}">
              <c16:uniqueId val="{0000000B-8967-44B4-A3DE-ABCC032DBDE4}"/>
            </c:ext>
          </c:extLst>
        </c:ser>
        <c:dLbls>
          <c:showLegendKey val="0"/>
          <c:showVal val="0"/>
          <c:showCatName val="0"/>
          <c:showSerName val="0"/>
          <c:showPercent val="0"/>
          <c:showBubbleSize val="0"/>
        </c:dLbls>
        <c:smooth val="0"/>
        <c:axId val="572216472"/>
        <c:axId val="572217456"/>
      </c:lineChart>
      <c:catAx>
        <c:axId val="572216472"/>
        <c:scaling>
          <c:orientation val="minMax"/>
        </c:scaling>
        <c:delete val="0"/>
        <c:axPos val="b"/>
        <c:numFmt formatCode="General" sourceLinked="1"/>
        <c:majorTickMark val="cross"/>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572217456"/>
        <c:crosses val="autoZero"/>
        <c:auto val="1"/>
        <c:lblAlgn val="ctr"/>
        <c:lblOffset val="100"/>
        <c:tickMarkSkip val="1"/>
        <c:noMultiLvlLbl val="0"/>
      </c:catAx>
      <c:valAx>
        <c:axId val="572217456"/>
        <c:scaling>
          <c:orientation val="minMax"/>
        </c:scaling>
        <c:delete val="0"/>
        <c:axPos val="l"/>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sv-SE"/>
          </a:p>
        </c:txPr>
        <c:crossAx val="572216472"/>
        <c:crosses val="autoZero"/>
        <c:crossBetween val="between"/>
      </c:valAx>
      <c:spPr>
        <a:noFill/>
        <a:ln>
          <a:noFill/>
        </a:ln>
        <a:effectLst/>
      </c:spPr>
    </c:plotArea>
    <c:legend>
      <c:legendPos val="b"/>
      <c:layout>
        <c:manualLayout>
          <c:xMode val="edge"/>
          <c:yMode val="edge"/>
          <c:x val="2.4397967473896345E-2"/>
          <c:y val="0.74022694941270517"/>
          <c:w val="0.97147224740220905"/>
          <c:h val="0.235087513185081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614837593695943E-2"/>
          <c:y val="3.2337962962962964E-2"/>
          <c:w val="0.92281068614261008"/>
          <c:h val="0.63489665757382296"/>
        </c:manualLayout>
      </c:layout>
      <c:lineChart>
        <c:grouping val="standard"/>
        <c:varyColors val="0"/>
        <c:ser>
          <c:idx val="0"/>
          <c:order val="0"/>
          <c:tx>
            <c:strRef>
              <c:f>'RUTs bearbetning Tabell 4 och 5'!$A$66</c:f>
              <c:strCache>
                <c:ptCount val="1"/>
                <c:pt idx="0">
                  <c:v>Norway</c:v>
                </c:pt>
              </c:strCache>
            </c:strRef>
          </c:tx>
          <c:spPr>
            <a:ln w="28575" cap="rnd">
              <a:solidFill>
                <a:srgbClr val="1C5170"/>
              </a:solidFill>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5'!$B$66:$I$66</c:f>
              <c:numCache>
                <c:formatCode>#,##0</c:formatCode>
                <c:ptCount val="8"/>
                <c:pt idx="0">
                  <c:v>251.44871362725448</c:v>
                </c:pt>
                <c:pt idx="1">
                  <c:v>237.29037227722773</c:v>
                </c:pt>
                <c:pt idx="2">
                  <c:v>267.72081819960857</c:v>
                </c:pt>
                <c:pt idx="3">
                  <c:v>230.37143442940041</c:v>
                </c:pt>
                <c:pt idx="4">
                  <c:v>194.26346660268715</c:v>
                </c:pt>
                <c:pt idx="5">
                  <c:v>186.42439904942967</c:v>
                </c:pt>
                <c:pt idx="6">
                  <c:v>214.81478169811319</c:v>
                </c:pt>
                <c:pt idx="7">
                  <c:v>241.63547767354598</c:v>
                </c:pt>
              </c:numCache>
            </c:numRef>
          </c:val>
          <c:smooth val="0"/>
          <c:extLst>
            <c:ext xmlns:c16="http://schemas.microsoft.com/office/drawing/2014/chart" uri="{C3380CC4-5D6E-409C-BE32-E72D297353CC}">
              <c16:uniqueId val="{00000000-CC75-4F88-BD0C-5367604157BC}"/>
            </c:ext>
          </c:extLst>
        </c:ser>
        <c:ser>
          <c:idx val="1"/>
          <c:order val="1"/>
          <c:tx>
            <c:strRef>
              <c:f>'RUTs bearbetning Tabell 4 och 5'!$A$67</c:f>
              <c:strCache>
                <c:ptCount val="1"/>
                <c:pt idx="0">
                  <c:v>Sweden</c:v>
                </c:pt>
              </c:strCache>
            </c:strRef>
          </c:tx>
          <c:spPr>
            <a:ln w="28575" cap="rnd">
              <a:solidFill>
                <a:srgbClr val="C41E3A"/>
              </a:solidFill>
              <a:prstDash val="solid"/>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5'!$B$67:$I$67</c:f>
              <c:numCache>
                <c:formatCode>#,##0</c:formatCode>
                <c:ptCount val="8"/>
                <c:pt idx="0">
                  <c:v>123.29495273109244</c:v>
                </c:pt>
                <c:pt idx="1">
                  <c:v>136.08803587866109</c:v>
                </c:pt>
                <c:pt idx="2">
                  <c:v>145.41990508298753</c:v>
                </c:pt>
                <c:pt idx="3">
                  <c:v>141.66576984615384</c:v>
                </c:pt>
                <c:pt idx="4">
                  <c:v>132.05332395939087</c:v>
                </c:pt>
                <c:pt idx="5">
                  <c:v>113.33243881940972</c:v>
                </c:pt>
                <c:pt idx="6">
                  <c:v>141.0114567193676</c:v>
                </c:pt>
                <c:pt idx="7">
                  <c:v>179.72104007820136</c:v>
                </c:pt>
              </c:numCache>
            </c:numRef>
          </c:val>
          <c:smooth val="0"/>
          <c:extLst>
            <c:ext xmlns:c16="http://schemas.microsoft.com/office/drawing/2014/chart" uri="{C3380CC4-5D6E-409C-BE32-E72D297353CC}">
              <c16:uniqueId val="{00000001-CC75-4F88-BD0C-5367604157BC}"/>
            </c:ext>
          </c:extLst>
        </c:ser>
        <c:ser>
          <c:idx val="2"/>
          <c:order val="2"/>
          <c:tx>
            <c:strRef>
              <c:f>'RUTs bearbetning Tabell 4 och 5'!$A$68</c:f>
              <c:strCache>
                <c:ptCount val="1"/>
                <c:pt idx="0">
                  <c:v>Denmark</c:v>
                </c:pt>
              </c:strCache>
            </c:strRef>
          </c:tx>
          <c:spPr>
            <a:ln w="28575" cap="rnd">
              <a:solidFill>
                <a:srgbClr val="75B2DD"/>
              </a:solidFill>
              <a:prstDash val="solid"/>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5'!$B$68:$I$68</c:f>
              <c:numCache>
                <c:formatCode>#,##0</c:formatCode>
                <c:ptCount val="8"/>
                <c:pt idx="0">
                  <c:v>83.976306630824368</c:v>
                </c:pt>
                <c:pt idx="1">
                  <c:v>85.750278750000007</c:v>
                </c:pt>
                <c:pt idx="2">
                  <c:v>96.490885488166029</c:v>
                </c:pt>
                <c:pt idx="3">
                  <c:v>116.57170653710249</c:v>
                </c:pt>
                <c:pt idx="4">
                  <c:v>71.952696322241678</c:v>
                </c:pt>
                <c:pt idx="5">
                  <c:v>72.449690956521749</c:v>
                </c:pt>
                <c:pt idx="6">
                  <c:v>94.792310207612445</c:v>
                </c:pt>
                <c:pt idx="7">
                  <c:v>98.797347332185907</c:v>
                </c:pt>
              </c:numCache>
            </c:numRef>
          </c:val>
          <c:smooth val="0"/>
          <c:extLst>
            <c:ext xmlns:c16="http://schemas.microsoft.com/office/drawing/2014/chart" uri="{C3380CC4-5D6E-409C-BE32-E72D297353CC}">
              <c16:uniqueId val="{00000002-CC75-4F88-BD0C-5367604157BC}"/>
            </c:ext>
          </c:extLst>
        </c:ser>
        <c:ser>
          <c:idx val="3"/>
          <c:order val="3"/>
          <c:tx>
            <c:strRef>
              <c:f>'RUTs bearbetning Tabell 4 och 5'!$A$69</c:f>
              <c:strCache>
                <c:ptCount val="1"/>
                <c:pt idx="0">
                  <c:v>Iceland</c:v>
                </c:pt>
              </c:strCache>
            </c:strRef>
          </c:tx>
          <c:spPr>
            <a:ln w="28575" cap="rnd">
              <a:solidFill>
                <a:srgbClr val="E28C05"/>
              </a:solidFill>
              <a:prstDash val="solid"/>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5'!$B$69:$I$69</c:f>
              <c:numCache>
                <c:formatCode>#,##0</c:formatCode>
                <c:ptCount val="8"/>
                <c:pt idx="0">
                  <c:v>28.719484374999997</c:v>
                </c:pt>
                <c:pt idx="1">
                  <c:v>27.780332912833451</c:v>
                </c:pt>
                <c:pt idx="2">
                  <c:v>34.229703030303028</c:v>
                </c:pt>
                <c:pt idx="3">
                  <c:v>33.863651515151517</c:v>
                </c:pt>
                <c:pt idx="4">
                  <c:v>34.165342424242425</c:v>
                </c:pt>
                <c:pt idx="5">
                  <c:v>41.090138235294113</c:v>
                </c:pt>
                <c:pt idx="6">
                  <c:v>55.421197058823523</c:v>
                </c:pt>
                <c:pt idx="7">
                  <c:v>73.44931714285714</c:v>
                </c:pt>
              </c:numCache>
            </c:numRef>
          </c:val>
          <c:smooth val="0"/>
          <c:extLst>
            <c:ext xmlns:c16="http://schemas.microsoft.com/office/drawing/2014/chart" uri="{C3380CC4-5D6E-409C-BE32-E72D297353CC}">
              <c16:uniqueId val="{00000003-CC75-4F88-BD0C-5367604157BC}"/>
            </c:ext>
          </c:extLst>
        </c:ser>
        <c:ser>
          <c:idx val="4"/>
          <c:order val="4"/>
          <c:tx>
            <c:strRef>
              <c:f>'RUTs bearbetning Tabell 4 och 5'!$A$70</c:f>
              <c:strCache>
                <c:ptCount val="1"/>
                <c:pt idx="0">
                  <c:v>Netherlands</c:v>
                </c:pt>
              </c:strCache>
            </c:strRef>
          </c:tx>
          <c:spPr>
            <a:ln w="28575" cap="rnd">
              <a:solidFill>
                <a:srgbClr val="3A7728"/>
              </a:solidFill>
              <a:prstDash val="solid"/>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5'!$B$70:$I$70</c:f>
              <c:numCache>
                <c:formatCode>#,##0</c:formatCode>
                <c:ptCount val="8"/>
                <c:pt idx="0">
                  <c:v>60.93383803239351</c:v>
                </c:pt>
                <c:pt idx="1">
                  <c:v>53.989211057979674</c:v>
                </c:pt>
                <c:pt idx="2">
                  <c:v>54.717478903456495</c:v>
                </c:pt>
                <c:pt idx="3">
                  <c:v>50.190092572786696</c:v>
                </c:pt>
                <c:pt idx="4">
                  <c:v>46.41111580510993</c:v>
                </c:pt>
                <c:pt idx="5">
                  <c:v>49.836344763019312</c:v>
                </c:pt>
                <c:pt idx="6">
                  <c:v>48.266041217798602</c:v>
                </c:pt>
                <c:pt idx="7">
                  <c:v>58.317955549132947</c:v>
                </c:pt>
              </c:numCache>
            </c:numRef>
          </c:val>
          <c:smooth val="0"/>
          <c:extLst>
            <c:ext xmlns:c16="http://schemas.microsoft.com/office/drawing/2014/chart" uri="{C3380CC4-5D6E-409C-BE32-E72D297353CC}">
              <c16:uniqueId val="{00000004-CC75-4F88-BD0C-5367604157BC}"/>
            </c:ext>
          </c:extLst>
        </c:ser>
        <c:ser>
          <c:idx val="5"/>
          <c:order val="5"/>
          <c:tx>
            <c:strRef>
              <c:f>'RUTs bearbetning Tabell 4 och 5'!$A$71</c:f>
              <c:strCache>
                <c:ptCount val="1"/>
                <c:pt idx="0">
                  <c:v>United Kingdom</c:v>
                </c:pt>
              </c:strCache>
            </c:strRef>
          </c:tx>
          <c:spPr>
            <a:ln w="28575" cap="rnd">
              <a:solidFill>
                <a:srgbClr val="000000"/>
              </a:solidFill>
              <a:prstDash val="solid"/>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5'!$B$71:$I$71</c:f>
              <c:numCache>
                <c:formatCode>#,##0</c:formatCode>
                <c:ptCount val="8"/>
                <c:pt idx="0">
                  <c:v>32.880949325409567</c:v>
                </c:pt>
                <c:pt idx="1">
                  <c:v>29.526552534923873</c:v>
                </c:pt>
                <c:pt idx="2">
                  <c:v>40.084948260801745</c:v>
                </c:pt>
                <c:pt idx="3">
                  <c:v>45.592510882033793</c:v>
                </c:pt>
                <c:pt idx="4">
                  <c:v>42.193281873065018</c:v>
                </c:pt>
                <c:pt idx="5">
                  <c:v>40.367327494287892</c:v>
                </c:pt>
                <c:pt idx="6">
                  <c:v>39.991089352627569</c:v>
                </c:pt>
                <c:pt idx="7">
                  <c:v>45.984744442771081</c:v>
                </c:pt>
              </c:numCache>
            </c:numRef>
          </c:val>
          <c:smooth val="0"/>
          <c:extLst>
            <c:ext xmlns:c16="http://schemas.microsoft.com/office/drawing/2014/chart" uri="{C3380CC4-5D6E-409C-BE32-E72D297353CC}">
              <c16:uniqueId val="{00000005-CC75-4F88-BD0C-5367604157BC}"/>
            </c:ext>
          </c:extLst>
        </c:ser>
        <c:ser>
          <c:idx val="6"/>
          <c:order val="6"/>
          <c:tx>
            <c:strRef>
              <c:f>'RUTs bearbetning Tabell 4 och 5'!$A$72</c:f>
              <c:strCache>
                <c:ptCount val="1"/>
                <c:pt idx="0">
                  <c:v>Ireland</c:v>
                </c:pt>
              </c:strCache>
            </c:strRef>
          </c:tx>
          <c:spPr>
            <a:ln w="28575" cap="rnd">
              <a:solidFill>
                <a:srgbClr val="E0ED44"/>
              </a:solidFill>
              <a:prstDash val="solid"/>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5'!$B$72:$I$72</c:f>
              <c:numCache>
                <c:formatCode>#,##0</c:formatCode>
                <c:ptCount val="8"/>
                <c:pt idx="0">
                  <c:v>37.043394771241829</c:v>
                </c:pt>
                <c:pt idx="1">
                  <c:v>39.214515032679735</c:v>
                </c:pt>
                <c:pt idx="2">
                  <c:v>38.084516122004359</c:v>
                </c:pt>
                <c:pt idx="3">
                  <c:v>36.147816594827589</c:v>
                </c:pt>
                <c:pt idx="4">
                  <c:v>33.027149353448273</c:v>
                </c:pt>
                <c:pt idx="5">
                  <c:v>44.634549678800859</c:v>
                </c:pt>
                <c:pt idx="6">
                  <c:v>36.790799582463471</c:v>
                </c:pt>
                <c:pt idx="7">
                  <c:v>43.592124691358023</c:v>
                </c:pt>
              </c:numCache>
            </c:numRef>
          </c:val>
          <c:smooth val="0"/>
          <c:extLst>
            <c:ext xmlns:c16="http://schemas.microsoft.com/office/drawing/2014/chart" uri="{C3380CC4-5D6E-409C-BE32-E72D297353CC}">
              <c16:uniqueId val="{00000006-CC75-4F88-BD0C-5367604157BC}"/>
            </c:ext>
          </c:extLst>
        </c:ser>
        <c:ser>
          <c:idx val="7"/>
          <c:order val="7"/>
          <c:tx>
            <c:strRef>
              <c:f>'RUTs bearbetning Tabell 4 och 5'!$A$73</c:f>
              <c:strCache>
                <c:ptCount val="1"/>
                <c:pt idx="0">
                  <c:v>Germany</c:v>
                </c:pt>
              </c:strCache>
            </c:strRef>
          </c:tx>
          <c:spPr>
            <a:ln w="28575" cap="rnd">
              <a:solidFill>
                <a:srgbClr val="755426"/>
              </a:solidFill>
              <a:prstDash val="solid"/>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5'!$B$73:$I$73</c:f>
              <c:numCache>
                <c:formatCode>#,##0</c:formatCode>
                <c:ptCount val="8"/>
                <c:pt idx="0">
                  <c:v>6.8759828591905912</c:v>
                </c:pt>
                <c:pt idx="1">
                  <c:v>6.451834998136416</c:v>
                </c:pt>
                <c:pt idx="2">
                  <c:v>9.7258550421209122</c:v>
                </c:pt>
                <c:pt idx="3">
                  <c:v>11.731574753330046</c:v>
                </c:pt>
                <c:pt idx="4">
                  <c:v>12.052811170601119</c:v>
                </c:pt>
                <c:pt idx="5">
                  <c:v>30.671198411350964</c:v>
                </c:pt>
                <c:pt idx="6">
                  <c:v>37.355834641864959</c:v>
                </c:pt>
                <c:pt idx="7">
                  <c:v>38.155004649482052</c:v>
                </c:pt>
              </c:numCache>
            </c:numRef>
          </c:val>
          <c:smooth val="0"/>
          <c:extLst>
            <c:ext xmlns:c16="http://schemas.microsoft.com/office/drawing/2014/chart" uri="{C3380CC4-5D6E-409C-BE32-E72D297353CC}">
              <c16:uniqueId val="{00000007-CC75-4F88-BD0C-5367604157BC}"/>
            </c:ext>
          </c:extLst>
        </c:ser>
        <c:ser>
          <c:idx val="8"/>
          <c:order val="8"/>
          <c:tx>
            <c:strRef>
              <c:f>'RUTs bearbetning Tabell 4 och 5'!$A$74</c:f>
              <c:strCache>
                <c:ptCount val="1"/>
                <c:pt idx="0">
                  <c:v>Finland</c:v>
                </c:pt>
              </c:strCache>
            </c:strRef>
          </c:tx>
          <c:spPr>
            <a:ln w="28575" cap="rnd">
              <a:solidFill>
                <a:schemeClr val="accent3">
                  <a:lumMod val="60000"/>
                </a:schemeClr>
              </a:solidFill>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5'!$B$74:$I$74</c:f>
              <c:numCache>
                <c:formatCode>#,##0</c:formatCode>
                <c:ptCount val="8"/>
                <c:pt idx="0">
                  <c:v>60.257208888888876</c:v>
                </c:pt>
                <c:pt idx="1">
                  <c:v>56.960336279926338</c:v>
                </c:pt>
                <c:pt idx="2">
                  <c:v>67.486569908256882</c:v>
                </c:pt>
                <c:pt idx="3">
                  <c:v>80.830044241316287</c:v>
                </c:pt>
                <c:pt idx="4">
                  <c:v>55.602535401459853</c:v>
                </c:pt>
                <c:pt idx="5">
                  <c:v>40.817038545454544</c:v>
                </c:pt>
                <c:pt idx="6">
                  <c:v>32.295898366606174</c:v>
                </c:pt>
                <c:pt idx="7">
                  <c:v>33.212562681159426</c:v>
                </c:pt>
              </c:numCache>
            </c:numRef>
          </c:val>
          <c:smooth val="0"/>
          <c:extLst>
            <c:ext xmlns:c16="http://schemas.microsoft.com/office/drawing/2014/chart" uri="{C3380CC4-5D6E-409C-BE32-E72D297353CC}">
              <c16:uniqueId val="{00000008-CC75-4F88-BD0C-5367604157BC}"/>
            </c:ext>
          </c:extLst>
        </c:ser>
        <c:ser>
          <c:idx val="9"/>
          <c:order val="9"/>
          <c:tx>
            <c:strRef>
              <c:f>'RUTs bearbetning Tabell 4 och 5'!$A$75</c:f>
              <c:strCache>
                <c:ptCount val="1"/>
                <c:pt idx="0">
                  <c:v>Belgium</c:v>
                </c:pt>
              </c:strCache>
            </c:strRef>
          </c:tx>
          <c:spPr>
            <a:ln w="28575" cap="rnd">
              <a:solidFill>
                <a:schemeClr val="accent4">
                  <a:lumMod val="60000"/>
                </a:schemeClr>
              </a:solidFill>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5'!$B$75:$I$75</c:f>
              <c:numCache>
                <c:formatCode>#,##0</c:formatCode>
                <c:ptCount val="8"/>
                <c:pt idx="0">
                  <c:v>33.803362283105024</c:v>
                </c:pt>
                <c:pt idx="1">
                  <c:v>20.740872694063928</c:v>
                </c:pt>
                <c:pt idx="2">
                  <c:v>25.968215784753365</c:v>
                </c:pt>
                <c:pt idx="3">
                  <c:v>31.207520625000001</c:v>
                </c:pt>
                <c:pt idx="4">
                  <c:v>22.207658118899733</c:v>
                </c:pt>
                <c:pt idx="5">
                  <c:v>25.255509002647834</c:v>
                </c:pt>
                <c:pt idx="6">
                  <c:v>23.442268629173988</c:v>
                </c:pt>
                <c:pt idx="7">
                  <c:v>25.415794045534152</c:v>
                </c:pt>
              </c:numCache>
            </c:numRef>
          </c:val>
          <c:smooth val="0"/>
          <c:extLst>
            <c:ext xmlns:c16="http://schemas.microsoft.com/office/drawing/2014/chart" uri="{C3380CC4-5D6E-409C-BE32-E72D297353CC}">
              <c16:uniqueId val="{00000009-CC75-4F88-BD0C-5367604157BC}"/>
            </c:ext>
          </c:extLst>
        </c:ser>
        <c:ser>
          <c:idx val="10"/>
          <c:order val="10"/>
          <c:tx>
            <c:strRef>
              <c:f>'RUTs bearbetning Tabell 4 och 5'!$A$76</c:f>
              <c:strCache>
                <c:ptCount val="1"/>
                <c:pt idx="0">
                  <c:v>Italy</c:v>
                </c:pt>
              </c:strCache>
            </c:strRef>
          </c:tx>
          <c:spPr>
            <a:ln w="28575" cap="rnd">
              <a:solidFill>
                <a:schemeClr val="accent5">
                  <a:lumMod val="60000"/>
                </a:schemeClr>
              </a:solidFill>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5'!$B$76:$I$76</c:f>
              <c:numCache>
                <c:formatCode>#,##0</c:formatCode>
                <c:ptCount val="8"/>
                <c:pt idx="0">
                  <c:v>3.7100813804437136</c:v>
                </c:pt>
                <c:pt idx="1">
                  <c:v>3.8791067850561234</c:v>
                </c:pt>
                <c:pt idx="2">
                  <c:v>4.9903213471849872</c:v>
                </c:pt>
                <c:pt idx="3">
                  <c:v>5.2822058078315228</c:v>
                </c:pt>
                <c:pt idx="4">
                  <c:v>5.5000376751854896</c:v>
                </c:pt>
                <c:pt idx="5">
                  <c:v>4.5873578738857708</c:v>
                </c:pt>
                <c:pt idx="6">
                  <c:v>6.9797631292292452</c:v>
                </c:pt>
                <c:pt idx="7">
                  <c:v>7.5987384003974174</c:v>
                </c:pt>
              </c:numCache>
            </c:numRef>
          </c:val>
          <c:smooth val="0"/>
          <c:extLst>
            <c:ext xmlns:c16="http://schemas.microsoft.com/office/drawing/2014/chart" uri="{C3380CC4-5D6E-409C-BE32-E72D297353CC}">
              <c16:uniqueId val="{0000000A-CC75-4F88-BD0C-5367604157BC}"/>
            </c:ext>
          </c:extLst>
        </c:ser>
        <c:ser>
          <c:idx val="11"/>
          <c:order val="11"/>
          <c:tx>
            <c:strRef>
              <c:f>'RUTs bearbetning Tabell 4 och 5'!$A$77</c:f>
              <c:strCache>
                <c:ptCount val="1"/>
                <c:pt idx="0">
                  <c:v>France</c:v>
                </c:pt>
              </c:strCache>
            </c:strRef>
          </c:tx>
          <c:spPr>
            <a:ln w="28575" cap="rnd">
              <a:solidFill>
                <a:schemeClr val="accent6">
                  <a:lumMod val="60000"/>
                </a:schemeClr>
              </a:solidFill>
              <a:round/>
            </a:ln>
            <a:effectLst/>
          </c:spPr>
          <c:marker>
            <c:symbol val="none"/>
          </c:marker>
          <c:cat>
            <c:numRef>
              <c:f>'RUTs bearbetning Tabell 4 och 5'!$B$65:$I$65</c:f>
              <c:numCache>
                <c:formatCode>#,##0</c:formatCode>
                <c:ptCount val="8"/>
                <c:pt idx="0">
                  <c:v>2011</c:v>
                </c:pt>
                <c:pt idx="1">
                  <c:v>2012</c:v>
                </c:pt>
                <c:pt idx="2">
                  <c:v>2013</c:v>
                </c:pt>
                <c:pt idx="3">
                  <c:v>2014</c:v>
                </c:pt>
                <c:pt idx="4">
                  <c:v>2015</c:v>
                </c:pt>
                <c:pt idx="5">
                  <c:v>2016</c:v>
                </c:pt>
                <c:pt idx="6">
                  <c:v>2017</c:v>
                </c:pt>
                <c:pt idx="7">
                  <c:v>2018</c:v>
                </c:pt>
              </c:numCache>
            </c:numRef>
          </c:cat>
          <c:val>
            <c:numRef>
              <c:f>'RUTs bearbetning Tabell 4 och 5'!$B$77:$I$77</c:f>
              <c:numCache>
                <c:formatCode>#,##0</c:formatCode>
                <c:ptCount val="8"/>
                <c:pt idx="0">
                  <c:v>4.8923925631216525</c:v>
                </c:pt>
                <c:pt idx="1">
                  <c:v>4.2506936880622046</c:v>
                </c:pt>
                <c:pt idx="2">
                  <c:v>4.8900767190120442</c:v>
                </c:pt>
                <c:pt idx="3">
                  <c:v>4.3281559993901508</c:v>
                </c:pt>
                <c:pt idx="4">
                  <c:v>4.6701821314224725</c:v>
                </c:pt>
                <c:pt idx="5">
                  <c:v>4.7277167390978567</c:v>
                </c:pt>
                <c:pt idx="6">
                  <c:v>4.6755741925881829</c:v>
                </c:pt>
                <c:pt idx="7">
                  <c:v>7.11469367069712</c:v>
                </c:pt>
              </c:numCache>
            </c:numRef>
          </c:val>
          <c:smooth val="0"/>
          <c:extLst>
            <c:ext xmlns:c16="http://schemas.microsoft.com/office/drawing/2014/chart" uri="{C3380CC4-5D6E-409C-BE32-E72D297353CC}">
              <c16:uniqueId val="{0000000B-CC75-4F88-BD0C-5367604157BC}"/>
            </c:ext>
          </c:extLst>
        </c:ser>
        <c:dLbls>
          <c:showLegendKey val="0"/>
          <c:showVal val="0"/>
          <c:showCatName val="0"/>
          <c:showSerName val="0"/>
          <c:showPercent val="0"/>
          <c:showBubbleSize val="0"/>
        </c:dLbls>
        <c:smooth val="0"/>
        <c:axId val="572216472"/>
        <c:axId val="572217456"/>
      </c:lineChart>
      <c:catAx>
        <c:axId val="572216472"/>
        <c:scaling>
          <c:orientation val="minMax"/>
        </c:scaling>
        <c:delete val="0"/>
        <c:axPos val="b"/>
        <c:numFmt formatCode="#,##0" sourceLinked="1"/>
        <c:majorTickMark val="cross"/>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572217456"/>
        <c:crosses val="autoZero"/>
        <c:auto val="1"/>
        <c:lblAlgn val="ctr"/>
        <c:lblOffset val="100"/>
        <c:tickMarkSkip val="1"/>
        <c:noMultiLvlLbl val="0"/>
      </c:catAx>
      <c:valAx>
        <c:axId val="572217456"/>
        <c:scaling>
          <c:orientation val="minMax"/>
        </c:scaling>
        <c:delete val="0"/>
        <c:axPos val="l"/>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sv-SE"/>
          </a:p>
        </c:txPr>
        <c:crossAx val="572216472"/>
        <c:crosses val="autoZero"/>
        <c:crossBetween val="between"/>
      </c:valAx>
      <c:spPr>
        <a:noFill/>
        <a:ln>
          <a:noFill/>
        </a:ln>
        <a:effectLst/>
      </c:spPr>
    </c:plotArea>
    <c:legend>
      <c:legendPos val="b"/>
      <c:layout>
        <c:manualLayout>
          <c:xMode val="edge"/>
          <c:yMode val="edge"/>
          <c:x val="2.1788312428173279E-3"/>
          <c:y val="0.75508367350887051"/>
          <c:w val="0.99048338649378309"/>
          <c:h val="0.23333939522915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C9BB0E37024E1494932BB225AFEF03"/>
        <w:category>
          <w:name w:val="Allmänt"/>
          <w:gallery w:val="placeholder"/>
        </w:category>
        <w:types>
          <w:type w:val="bbPlcHdr"/>
        </w:types>
        <w:behaviors>
          <w:behavior w:val="content"/>
        </w:behaviors>
        <w:guid w:val="{33039459-DB64-40BD-AA5E-F33C18727E0B}"/>
      </w:docPartPr>
      <w:docPartBody>
        <w:p w:rsidR="008E22C9" w:rsidRDefault="008E22C9">
          <w:pPr>
            <w:pStyle w:val="EEC9BB0E37024E1494932BB225AFEF03"/>
          </w:pPr>
          <w:r w:rsidRPr="005D638F">
            <w:rPr>
              <w:rStyle w:val="Platshllartext"/>
            </w:rPr>
            <w:t>Klicka här för att ange text.</w:t>
          </w:r>
        </w:p>
      </w:docPartBody>
    </w:docPart>
    <w:docPart>
      <w:docPartPr>
        <w:name w:val="215AC802CD9D41CF8A9E903DB3117F0A"/>
        <w:category>
          <w:name w:val="Allmänt"/>
          <w:gallery w:val="placeholder"/>
        </w:category>
        <w:types>
          <w:type w:val="bbPlcHdr"/>
        </w:types>
        <w:behaviors>
          <w:behavior w:val="content"/>
        </w:behaviors>
        <w:guid w:val="{6D265AF9-6FA5-4FD6-B225-79261FF2CB32}"/>
      </w:docPartPr>
      <w:docPartBody>
        <w:p w:rsidR="008E22C9" w:rsidRDefault="008E22C9">
          <w:pPr>
            <w:pStyle w:val="215AC802CD9D41CF8A9E903DB3117F0A"/>
          </w:pPr>
          <w:r w:rsidRPr="006F4C42">
            <w:rPr>
              <w:rStyle w:val="Platshllartext"/>
            </w:rPr>
            <w:t>[Dnr]</w:t>
          </w:r>
        </w:p>
      </w:docPartBody>
    </w:docPart>
    <w:docPart>
      <w:docPartPr>
        <w:name w:val="495BC025C4724D5C953DF3C9BCC3A2B8"/>
        <w:category>
          <w:name w:val="Allmänt"/>
          <w:gallery w:val="placeholder"/>
        </w:category>
        <w:types>
          <w:type w:val="bbPlcHdr"/>
        </w:types>
        <w:behaviors>
          <w:behavior w:val="content"/>
        </w:behaviors>
        <w:guid w:val="{40C92159-563F-40F8-B5B5-0E05A9249FD7}"/>
      </w:docPartPr>
      <w:docPartBody>
        <w:p w:rsidR="008E22C9" w:rsidRDefault="008E22C9"/>
      </w:docPartBody>
    </w:docPart>
    <w:docPart>
      <w:docPartPr>
        <w:name w:val="E23BDD49731B4E479DC1571ABBC243C1"/>
        <w:category>
          <w:name w:val="Allmänt"/>
          <w:gallery w:val="placeholder"/>
        </w:category>
        <w:types>
          <w:type w:val="bbPlcHdr"/>
        </w:types>
        <w:behaviors>
          <w:behavior w:val="content"/>
        </w:behaviors>
        <w:guid w:val="{761FEF07-5159-468D-A756-DC126A27B77C}"/>
      </w:docPartPr>
      <w:docPartBody>
        <w:p w:rsidR="008E22C9" w:rsidRDefault="008E22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C9"/>
    <w:rsid w:val="00111AC7"/>
    <w:rsid w:val="001D051A"/>
    <w:rsid w:val="008E22C9"/>
    <w:rsid w:val="00DF4037"/>
    <w:rsid w:val="00E62B02"/>
    <w:rsid w:val="00F42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C9BB0E37024E1494932BB225AFEF03">
    <w:name w:val="EEC9BB0E37024E1494932BB225AFEF03"/>
  </w:style>
  <w:style w:type="paragraph" w:customStyle="1" w:styleId="215AC802CD9D41CF8A9E903DB3117F0A">
    <w:name w:val="215AC802CD9D41CF8A9E903DB3117F0A"/>
  </w:style>
  <w:style w:type="paragraph" w:customStyle="1" w:styleId="FE2320E64D46419286DDE4CBE5535F49">
    <w:name w:val="FE2320E64D46419286DDE4CBE5535F49"/>
  </w:style>
  <w:style w:type="paragraph" w:customStyle="1" w:styleId="D300912031EB4D38B839DF4D8118C271">
    <w:name w:val="D300912031EB4D38B839DF4D8118C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F_Rubin_Dnr xmlns="ae7fe8aa-be4b-442d-9e5c-5fffa8527b40">2020:1205</RDF_Rubin_Dnr>
    <RDF_Rubin_RutKontaktInfo xmlns="ae7fe8aa-be4b-442d-9e5c-5fffa8527b40">Sektionen för juridik och statsvetenskap • Utredningstjänsten • Tel. 08-786 40 00 • E-post rut@riksdagen.se</RDF_Rubin_RutKontaktInfo>
    <RDF_Rubin_Rubrik xmlns="ae7fe8aa-be4b-442d-9e5c-5fffa8527b40">Sveriges kostnader för FN-medlemskapet mm</RDF_Rubin_Rubrik>
    <RDF_Rubin_Kategori xmlns="ae7fe8aa-be4b-442d-9e5c-5fffa8527b40">Rapport</RDF_Rubin_Kategori>
    <RDF_Rubin_SkickatTillSlutlasare xmlns="ae7fe8aa-be4b-442d-9e5c-5fffa8527b40">false</RDF_Rubin_SkickatTillSlutlasare>
    <RDF_Rubin_SlutlastDatum xmlns="ae7fe8aa-be4b-442d-9e5c-5fffa8527b40">2020-09-30T15:20:26+00:00</RDF_Rubin_SlutlastDatum>
    <RDF_Rubin_Slutlasare xmlns="ae7fe8aa-be4b-442d-9e5c-5fffa8527b40">
      <UserInfo>
        <DisplayName>Kalina Lindahl</DisplayName>
        <AccountId>39</AccountId>
        <AccountType/>
      </UserInfo>
    </RDF_Rubin_Slutlasare>
    <RDF_Rubin_exkluderaFranArkivering xmlns="ae7fe8aa-be4b-442d-9e5c-5fffa8527b40">false</RDF_Rubin_exkluderaFranArkivering>
    <RDF_Rubin_UppdragsbeskrivningText xmlns="ae7fe8aa-be4b-442d-9e5c-5fffa8527b40">Sveriges kostnader för FN-medlemskapet mm
Jag skulle vilja ha en tydlig sammanställning över Sveriges totala kostnader för medlemskapet i FN samt det stöd vi ger till olika FN-organ och genom deltagande i olika FN-aktiviteter. I den del stödet går via den svenska biståndsbudgeten eller den svenska försvarsbudgeten önskar jag att detta särredovisas om det är möjligt.
Om det går att säga något om utvecklingen över tid är detta också värdefullt.
Jag är också nyfken på om det finns någon sammanställning över hur mycket andra länder totalt bidrar med till FN. Går det att få fram? Extra intressant är det givetvis om vi kan jämföra med våra nordiska grannländer och/eller andra länder i EU. Tacksam för det ni kan få fram!
</RDF_Rubin_UppdragsbeskrivningText>
  </documentManagement>
</p:properties>
</file>

<file path=customXml/item2.xml><?xml version="1.0" encoding="utf-8"?>
<ct:contentTypeSchema xmlns:ct="http://schemas.microsoft.com/office/2006/metadata/contentType" xmlns:ma="http://schemas.microsoft.com/office/2006/metadata/properties/metaAttributes" ct:_="" ma:_="" ma:contentTypeName="Uppdragsdokument" ma:contentTypeID="0x010100225408BF33027F4A8C8C8E4571A4756E00D4021F981C56AB4C86EB5FFBD5EF7145" ma:contentTypeVersion="19" ma:contentTypeDescription="Skapa ett nytt dokument." ma:contentTypeScope="" ma:versionID="f6534f32a97e38d2ad811988ef76c9b7">
  <xsd:schema xmlns:xsd="http://www.w3.org/2001/XMLSchema" xmlns:xs="http://www.w3.org/2001/XMLSchema" xmlns:p="http://schemas.microsoft.com/office/2006/metadata/properties" xmlns:ns2="ae7fe8aa-be4b-442d-9e5c-5fffa8527b40" targetNamespace="http://schemas.microsoft.com/office/2006/metadata/properties" ma:root="true" ma:fieldsID="02ab7d487e88d4392bed2a102ddf66d0" ns2:_="">
    <xsd:import namespace="ae7fe8aa-be4b-442d-9e5c-5fffa8527b40"/>
    <xsd:element name="properties">
      <xsd:complexType>
        <xsd:sequence>
          <xsd:element name="documentManagement">
            <xsd:complexType>
              <xsd:all>
                <xsd:element ref="ns2:RDF_Rubin_RutKontaktInfo" minOccurs="0"/>
                <xsd:element ref="ns2:RDF_Rubin_Rubrik" minOccurs="0"/>
                <xsd:element ref="ns2:RDF_Rubin_Dnr" minOccurs="0"/>
                <xsd:element ref="ns2:RDF_Rubin_Kategori" minOccurs="0"/>
                <xsd:element ref="ns2:RDF_Rubin_Slutlasare" minOccurs="0"/>
                <xsd:element ref="ns2:RDF_Rubin_SkickatTillSlutlasare" minOccurs="0"/>
                <xsd:element ref="ns2:RDF_Rubin_SlutlastDatum" minOccurs="0"/>
                <xsd:element ref="ns2:RDF_Rubin_exkluderaFranArkivering" minOccurs="0"/>
                <xsd:element ref="ns2:RDF_Rubin_UppdragsbeskrivningTex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e8aa-be4b-442d-9e5c-5fffa8527b40" elementFormDefault="qualified">
    <xsd:import namespace="http://schemas.microsoft.com/office/2006/documentManagement/types"/>
    <xsd:import namespace="http://schemas.microsoft.com/office/infopath/2007/PartnerControls"/>
    <xsd:element name="RDF_Rubin_RutKontaktInfo" ma:index="8" nillable="true" ma:displayName="RUT Kontaktuppgifter" ma:description="" ma:internalName="RDF_Rubin_RutKontaktInfo">
      <xsd:simpleType>
        <xsd:restriction base="dms:Text"/>
      </xsd:simpleType>
    </xsd:element>
    <xsd:element name="RDF_Rubin_Rubrik" ma:index="9" nillable="true" ma:displayName="Rubrik" ma:description="" ma:internalName="RDF_Rubin_Rubrik">
      <xsd:simpleType>
        <xsd:restriction base="dms:Text"/>
      </xsd:simpleType>
    </xsd:element>
    <xsd:element name="RDF_Rubin_Dnr" ma:index="10" nillable="true" ma:displayName="Dnr" ma:description="" ma:indexed="true" ma:internalName="RDF_Rubin_Dnr">
      <xsd:simpleType>
        <xsd:restriction base="dms:Text"/>
      </xsd:simpleType>
    </xsd:element>
    <xsd:element name="RDF_Rubin_Kategori" ma:index="11" nillable="true" ma:displayName="Kategori" ma:default="Arbetsmaterial" ma:description="" ma:format="Dropdown" ma:internalName="RDF_Rubin_Kategori">
      <xsd:simpleType>
        <xsd:restriction base="dms:Choice">
          <xsd:enumeration value="Rapport"/>
          <xsd:enumeration value="Bilaga"/>
          <xsd:enumeration value="Arbetsmaterial"/>
          <xsd:enumeration value="Korrespondens"/>
          <xsd:enumeration value="Från uppdragsgivaren"/>
          <xsd:enumeration value="Intern Rapport"/>
        </xsd:restriction>
      </xsd:simpleType>
    </xsd:element>
    <xsd:element name="RDF_Rubin_Slutlasare" ma:index="12" nillable="true" ma:displayName="Slutläsare" ma:description="" ma:internalName="RDF_Rubin_Slutlas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SkickatTillSlutlasare" ma:index="13" nillable="true" ma:displayName="Skickat till slutläsare" ma:default="0" ma:description="" ma:internalName="RDF_Rubin_SkickatTillSlutlasare">
      <xsd:simpleType>
        <xsd:restriction base="dms:Boolean"/>
      </xsd:simpleType>
    </xsd:element>
    <xsd:element name="RDF_Rubin_SlutlastDatum" ma:index="14" nillable="true" ma:displayName="Slutläst" ma:description="" ma:format="DateOnly" ma:internalName="RDF_Rubin_SlutlastDatum">
      <xsd:simpleType>
        <xsd:restriction base="dms:DateTime"/>
      </xsd:simpleType>
    </xsd:element>
    <xsd:element name="RDF_Rubin_exkluderaFranArkivering" ma:index="15" nillable="true" ma:displayName="Exkludera från arkiv" ma:default="0" ma:description="" ma:internalName="RDF_Rubin_exkluderaFranArkivering">
      <xsd:simpleType>
        <xsd:restriction base="dms:Boolean"/>
      </xsd:simpleType>
    </xsd:element>
    <xsd:element name="RDF_Rubin_UppdragsbeskrivningText" ma:index="16" nillable="true" ma:displayName="Uppdragsbeskrivning" ma:description="" ma:internalName="RDF_Rubin_UppdragsbeskrivningText">
      <xsd:simpleType>
        <xsd:restriction base="dms:Note"/>
      </xsd:simpleType>
    </xsd:element>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C7C8-69FA-43C4-98C5-99BE863819E2}">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e7fe8aa-be4b-442d-9e5c-5fffa8527b40"/>
    <ds:schemaRef ds:uri="http://www.w3.org/XML/1998/namespace"/>
  </ds:schemaRefs>
</ds:datastoreItem>
</file>

<file path=customXml/itemProps2.xml><?xml version="1.0" encoding="utf-8"?>
<ds:datastoreItem xmlns:ds="http://schemas.openxmlformats.org/officeDocument/2006/customXml" ds:itemID="{87CC8907-0371-46CC-8C80-D195AFA0A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fe8aa-be4b-442d-9e5c-5fffa852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00B67-0F7B-4B28-9A80-3C529CE52B36}">
  <ds:schemaRefs>
    <ds:schemaRef ds:uri="http://schemas.microsoft.com/sharepoint/v3/contenttype/forms"/>
  </ds:schemaRefs>
</ds:datastoreItem>
</file>

<file path=customXml/itemProps4.xml><?xml version="1.0" encoding="utf-8"?>
<ds:datastoreItem xmlns:ds="http://schemas.openxmlformats.org/officeDocument/2006/customXml" ds:itemID="{AC37D5F2-A2C2-4F01-897F-D427E3AB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1967</Words>
  <Characters>9997</Characters>
  <Application>Microsoft Office Word</Application>
  <DocSecurity>4</DocSecurity>
  <Lines>908</Lines>
  <Paragraphs>797</Paragraphs>
  <ScaleCrop>false</ScaleCrop>
  <HeadingPairs>
    <vt:vector size="2" baseType="variant">
      <vt:variant>
        <vt:lpstr>Rubrik</vt:lpstr>
      </vt:variant>
      <vt:variant>
        <vt:i4>1</vt:i4>
      </vt:variant>
    </vt:vector>
  </HeadingPairs>
  <TitlesOfParts>
    <vt:vector size="1" baseType="lpstr">
      <vt:lpstr>2020_1205 - Rapport.docx</vt:lpstr>
    </vt:vector>
  </TitlesOfParts>
  <Manager/>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2020_1205 - Rapport.docx</dc:title>
  <dc:subject/>
  <dc:creator/>
  <cp:keywords/>
  <dc:description>(RUT-anpassning av PM.dot)</dc:description>
  <cp:lastModifiedBy/>
  <cp:revision>1</cp:revision>
  <cp:lastPrinted>2016-09-09T12:32:00Z</cp:lastPrinted>
  <dcterms:created xsi:type="dcterms:W3CDTF">2020-10-04T18:48:00Z</dcterms:created>
  <dcterms:modified xsi:type="dcterms:W3CDTF">2020-10-04T18:48:00Z</dcterms:modified>
  <cp:version>2016-10-24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tRubrik">
    <vt:lpwstr>Rapport från utredningstjänsten</vt:lpwstr>
  </property>
  <property fmtid="{D5CDD505-2E9C-101B-9397-08002B2CF9AE}" pid="3" name="ContentTypeId">
    <vt:lpwstr>0x010100225408BF33027F4A8C8C8E4571A4756E00D4021F981C56AB4C86EB5FFBD5EF7145</vt:lpwstr>
  </property>
  <property fmtid="{D5CDD505-2E9C-101B-9397-08002B2CF9AE}" pid="4" name="Sprak">
    <vt:lpwstr>Svenska</vt:lpwstr>
  </property>
  <property fmtid="{D5CDD505-2E9C-101B-9397-08002B2CF9AE}" pid="5" name="DocVersion">
    <vt:lpwstr>2016-10-26</vt:lpwstr>
  </property>
  <property fmtid="{D5CDD505-2E9C-101B-9397-08002B2CF9AE}" pid="6" name="_docset_NoMedatataSyncRequired">
    <vt:lpwstr>False</vt:lpwstr>
  </property>
</Properties>
</file>