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682" w:rsidRDefault="00490682" w:rsidP="0050633A">
      <w:pPr>
        <w:tabs>
          <w:tab w:val="clear" w:pos="284"/>
        </w:tabs>
        <w:rPr>
          <w:b/>
          <w:sz w:val="52"/>
          <w:szCs w:val="52"/>
        </w:rPr>
      </w:pPr>
      <w:r w:rsidRPr="009C166D">
        <w:rPr>
          <w:b/>
          <w:sz w:val="52"/>
          <w:szCs w:val="52"/>
        </w:rPr>
        <w:t>FiU</w:t>
      </w:r>
      <w:r w:rsidR="000742AB" w:rsidRPr="009C166D">
        <w:rPr>
          <w:b/>
          <w:sz w:val="52"/>
          <w:szCs w:val="52"/>
        </w:rPr>
        <w:t>1</w:t>
      </w:r>
      <w:r w:rsidR="0035046A" w:rsidRPr="009C166D">
        <w:rPr>
          <w:b/>
          <w:sz w:val="52"/>
          <w:szCs w:val="52"/>
        </w:rPr>
        <w:t>5</w:t>
      </w:r>
      <w:r w:rsidRPr="009C166D">
        <w:rPr>
          <w:b/>
          <w:sz w:val="52"/>
          <w:szCs w:val="52"/>
        </w:rPr>
        <w:t xml:space="preserve"> Anförande </w:t>
      </w:r>
      <w:r w:rsidR="0035046A" w:rsidRPr="009C166D">
        <w:rPr>
          <w:b/>
          <w:sz w:val="52"/>
          <w:szCs w:val="52"/>
        </w:rPr>
        <w:t>10</w:t>
      </w:r>
      <w:r w:rsidR="000742AB" w:rsidRPr="009C166D">
        <w:rPr>
          <w:b/>
          <w:sz w:val="52"/>
          <w:szCs w:val="52"/>
        </w:rPr>
        <w:t xml:space="preserve"> </w:t>
      </w:r>
      <w:r w:rsidR="0035046A" w:rsidRPr="009C166D">
        <w:rPr>
          <w:b/>
          <w:sz w:val="52"/>
          <w:szCs w:val="52"/>
        </w:rPr>
        <w:t>december 2020</w:t>
      </w:r>
      <w:r w:rsidR="00974C6F" w:rsidRPr="009C166D">
        <w:rPr>
          <w:b/>
          <w:sz w:val="52"/>
          <w:szCs w:val="52"/>
        </w:rPr>
        <w:t>, Jan Ericson (M)</w:t>
      </w:r>
    </w:p>
    <w:p w:rsidR="0038229B" w:rsidRDefault="0038229B" w:rsidP="0050633A">
      <w:pPr>
        <w:tabs>
          <w:tab w:val="clear" w:pos="284"/>
        </w:tabs>
        <w:rPr>
          <w:b/>
          <w:sz w:val="52"/>
          <w:szCs w:val="52"/>
        </w:rPr>
      </w:pPr>
    </w:p>
    <w:p w:rsidR="0038229B" w:rsidRPr="0038229B" w:rsidRDefault="0038229B" w:rsidP="0050633A">
      <w:pPr>
        <w:tabs>
          <w:tab w:val="clear" w:pos="284"/>
        </w:tabs>
        <w:rPr>
          <w:b/>
          <w:sz w:val="28"/>
          <w:szCs w:val="28"/>
        </w:rPr>
      </w:pPr>
      <w:r w:rsidRPr="0038229B">
        <w:rPr>
          <w:b/>
          <w:sz w:val="28"/>
          <w:szCs w:val="28"/>
        </w:rPr>
        <w:t>Riksrevisionens rapport om tillväxthämmande incitament i den kommunala inkomstutjämningen</w:t>
      </w:r>
    </w:p>
    <w:p w:rsidR="0050633A" w:rsidRDefault="0050633A" w:rsidP="0050633A">
      <w:pPr>
        <w:tabs>
          <w:tab w:val="clear" w:pos="284"/>
        </w:tabs>
        <w:rPr>
          <w:b/>
          <w:sz w:val="52"/>
          <w:szCs w:val="52"/>
        </w:rPr>
      </w:pPr>
    </w:p>
    <w:p w:rsidR="0038229B" w:rsidRPr="009C166D" w:rsidRDefault="0038229B" w:rsidP="0050633A">
      <w:pPr>
        <w:tabs>
          <w:tab w:val="clear" w:pos="284"/>
        </w:tabs>
        <w:rPr>
          <w:b/>
          <w:sz w:val="52"/>
          <w:szCs w:val="52"/>
        </w:rPr>
      </w:pPr>
    </w:p>
    <w:p w:rsidR="00F25ABB" w:rsidRPr="0038229B" w:rsidRDefault="00F25ABB" w:rsidP="0050633A">
      <w:pPr>
        <w:tabs>
          <w:tab w:val="clear" w:pos="284"/>
        </w:tabs>
        <w:rPr>
          <w:sz w:val="28"/>
          <w:szCs w:val="28"/>
        </w:rPr>
      </w:pPr>
      <w:r w:rsidRPr="0038229B">
        <w:rPr>
          <w:sz w:val="28"/>
          <w:szCs w:val="28"/>
        </w:rPr>
        <w:t>Fru talman,</w:t>
      </w:r>
    </w:p>
    <w:p w:rsidR="00F25ABB" w:rsidRPr="0038229B" w:rsidRDefault="00F25ABB" w:rsidP="0050633A">
      <w:pPr>
        <w:tabs>
          <w:tab w:val="clear" w:pos="284"/>
        </w:tabs>
        <w:rPr>
          <w:sz w:val="28"/>
          <w:szCs w:val="28"/>
        </w:rPr>
      </w:pPr>
    </w:p>
    <w:p w:rsidR="00A12034" w:rsidRPr="0038229B" w:rsidRDefault="00A12034" w:rsidP="0050633A">
      <w:pPr>
        <w:tabs>
          <w:tab w:val="clear" w:pos="284"/>
        </w:tabs>
        <w:rPr>
          <w:sz w:val="28"/>
          <w:szCs w:val="28"/>
        </w:rPr>
      </w:pPr>
      <w:r w:rsidRPr="0038229B">
        <w:rPr>
          <w:sz w:val="28"/>
          <w:szCs w:val="28"/>
        </w:rPr>
        <w:t xml:space="preserve">De svenska kommunerna är alltid den sista försvarslinjen mot samhällsproblemen när staten sviker. </w:t>
      </w:r>
    </w:p>
    <w:p w:rsidR="00A12034" w:rsidRPr="0038229B" w:rsidRDefault="00A12034" w:rsidP="0050633A">
      <w:pPr>
        <w:tabs>
          <w:tab w:val="clear" w:pos="284"/>
        </w:tabs>
        <w:rPr>
          <w:sz w:val="28"/>
          <w:szCs w:val="28"/>
        </w:rPr>
      </w:pPr>
    </w:p>
    <w:p w:rsidR="00A12034" w:rsidRPr="0038229B" w:rsidRDefault="00A12034" w:rsidP="0050633A">
      <w:pPr>
        <w:tabs>
          <w:tab w:val="clear" w:pos="284"/>
        </w:tabs>
        <w:rPr>
          <w:sz w:val="28"/>
          <w:szCs w:val="28"/>
        </w:rPr>
      </w:pPr>
      <w:r w:rsidRPr="0038229B">
        <w:rPr>
          <w:sz w:val="28"/>
          <w:szCs w:val="28"/>
        </w:rPr>
        <w:t>Det är kommuner med redan stor bostadsbrist som tvingas försöka lösa boende till nyanlända med mycket kort framförhållning.</w:t>
      </w:r>
      <w:r w:rsidR="00D7391E" w:rsidRPr="0038229B">
        <w:rPr>
          <w:sz w:val="28"/>
          <w:szCs w:val="28"/>
        </w:rPr>
        <w:t xml:space="preserve"> </w:t>
      </w:r>
      <w:r w:rsidRPr="0038229B">
        <w:rPr>
          <w:sz w:val="28"/>
          <w:szCs w:val="28"/>
        </w:rPr>
        <w:t xml:space="preserve">Det är kommuner som får hantera den misslyckade migrations- och integrationspolitiken och försörja nyanlända med försörjningsstöd när de inte kommer i arbete. </w:t>
      </w:r>
      <w:r w:rsidR="0035046A" w:rsidRPr="0038229B">
        <w:rPr>
          <w:sz w:val="28"/>
          <w:szCs w:val="28"/>
        </w:rPr>
        <w:t>D</w:t>
      </w:r>
      <w:r w:rsidRPr="0038229B">
        <w:rPr>
          <w:sz w:val="28"/>
          <w:szCs w:val="28"/>
        </w:rPr>
        <w:t xml:space="preserve">et är kommuner som får försöka skapa trygghet med ordningsvakter och andra kommunala åtgärder när det statliga rättssamhället sviker.  </w:t>
      </w:r>
    </w:p>
    <w:p w:rsidR="0035046A" w:rsidRPr="0038229B" w:rsidRDefault="0035046A" w:rsidP="0050633A">
      <w:pPr>
        <w:tabs>
          <w:tab w:val="clear" w:pos="284"/>
        </w:tabs>
        <w:rPr>
          <w:sz w:val="28"/>
          <w:szCs w:val="28"/>
        </w:rPr>
      </w:pPr>
    </w:p>
    <w:p w:rsidR="0035046A" w:rsidRPr="0038229B" w:rsidRDefault="0035046A" w:rsidP="0050633A">
      <w:pPr>
        <w:tabs>
          <w:tab w:val="clear" w:pos="284"/>
        </w:tabs>
        <w:rPr>
          <w:sz w:val="28"/>
          <w:szCs w:val="28"/>
        </w:rPr>
      </w:pPr>
      <w:r w:rsidRPr="0038229B">
        <w:rPr>
          <w:sz w:val="28"/>
          <w:szCs w:val="28"/>
        </w:rPr>
        <w:t xml:space="preserve">Och inte minst är det kommunerna och regionerna som ska försöka hantera den allvarliga pandemin i ett läge där stödet och riktlinjerna från regeringen och myndigheterna alltför ofta varit både sena, otydliga och motstridiga.  </w:t>
      </w:r>
    </w:p>
    <w:p w:rsidR="00A12034" w:rsidRPr="0038229B" w:rsidRDefault="00A12034" w:rsidP="0050633A">
      <w:pPr>
        <w:tabs>
          <w:tab w:val="clear" w:pos="284"/>
        </w:tabs>
        <w:rPr>
          <w:sz w:val="28"/>
          <w:szCs w:val="28"/>
        </w:rPr>
      </w:pPr>
    </w:p>
    <w:p w:rsidR="00A12034" w:rsidRPr="0038229B" w:rsidRDefault="00A12034" w:rsidP="0050633A">
      <w:pPr>
        <w:tabs>
          <w:tab w:val="clear" w:pos="284"/>
        </w:tabs>
        <w:rPr>
          <w:sz w:val="28"/>
          <w:szCs w:val="28"/>
        </w:rPr>
      </w:pPr>
      <w:r w:rsidRPr="0038229B">
        <w:rPr>
          <w:sz w:val="28"/>
          <w:szCs w:val="28"/>
        </w:rPr>
        <w:t xml:space="preserve">Listan kan göras längre – kommunerna är alltid de som står för den grundläggande välfärden och garanterar tryggheten för sina invånare. </w:t>
      </w:r>
    </w:p>
    <w:p w:rsidR="0035046A" w:rsidRPr="0038229B" w:rsidRDefault="00A12034" w:rsidP="0050633A">
      <w:pPr>
        <w:tabs>
          <w:tab w:val="clear" w:pos="284"/>
        </w:tabs>
        <w:rPr>
          <w:sz w:val="28"/>
          <w:szCs w:val="28"/>
        </w:rPr>
      </w:pPr>
      <w:r w:rsidRPr="0038229B">
        <w:rPr>
          <w:sz w:val="28"/>
          <w:szCs w:val="28"/>
        </w:rPr>
        <w:t xml:space="preserve">Det är också de som </w:t>
      </w:r>
      <w:r w:rsidR="00D7391E" w:rsidRPr="0038229B">
        <w:rPr>
          <w:sz w:val="28"/>
          <w:szCs w:val="28"/>
        </w:rPr>
        <w:t>f</w:t>
      </w:r>
      <w:r w:rsidRPr="0038229B">
        <w:rPr>
          <w:sz w:val="28"/>
          <w:szCs w:val="28"/>
        </w:rPr>
        <w:t xml:space="preserve">örsöker bevara en viss omfattning av samhällsservice när mindre orter avfolkas och urbaniseringen går i en rasande fart. </w:t>
      </w:r>
    </w:p>
    <w:p w:rsidR="0035046A" w:rsidRPr="0038229B" w:rsidRDefault="0035046A" w:rsidP="0050633A">
      <w:pPr>
        <w:tabs>
          <w:tab w:val="clear" w:pos="284"/>
        </w:tabs>
        <w:rPr>
          <w:sz w:val="28"/>
          <w:szCs w:val="28"/>
        </w:rPr>
      </w:pPr>
    </w:p>
    <w:p w:rsidR="00764D92" w:rsidRPr="0038229B" w:rsidRDefault="00A12034" w:rsidP="0050633A">
      <w:pPr>
        <w:tabs>
          <w:tab w:val="clear" w:pos="284"/>
        </w:tabs>
        <w:rPr>
          <w:sz w:val="28"/>
          <w:szCs w:val="28"/>
        </w:rPr>
      </w:pPr>
      <w:r w:rsidRPr="0038229B">
        <w:rPr>
          <w:sz w:val="28"/>
          <w:szCs w:val="28"/>
        </w:rPr>
        <w:t xml:space="preserve">Detta ansvar tvingas </w:t>
      </w:r>
      <w:r w:rsidR="00003327" w:rsidRPr="0038229B">
        <w:rPr>
          <w:sz w:val="28"/>
          <w:szCs w:val="28"/>
        </w:rPr>
        <w:t xml:space="preserve">kommunsektorn </w:t>
      </w:r>
      <w:r w:rsidRPr="0038229B">
        <w:rPr>
          <w:sz w:val="28"/>
          <w:szCs w:val="28"/>
        </w:rPr>
        <w:t>ta alldeles oavsett om staten är med och betalar eller inte.</w:t>
      </w:r>
      <w:r w:rsidR="00003327" w:rsidRPr="0038229B">
        <w:rPr>
          <w:sz w:val="28"/>
          <w:szCs w:val="28"/>
        </w:rPr>
        <w:t xml:space="preserve"> </w:t>
      </w:r>
      <w:r w:rsidR="00C85DEB" w:rsidRPr="0038229B">
        <w:rPr>
          <w:sz w:val="28"/>
          <w:szCs w:val="28"/>
        </w:rPr>
        <w:t>Och tyvärr tvingas kommunerna ibland ta ansvar för sådant som egentligen är statens uppgift.</w:t>
      </w:r>
    </w:p>
    <w:p w:rsidR="00C85DEB" w:rsidRDefault="00C85DEB" w:rsidP="0050633A">
      <w:pPr>
        <w:tabs>
          <w:tab w:val="clear" w:pos="284"/>
        </w:tabs>
        <w:rPr>
          <w:sz w:val="28"/>
          <w:szCs w:val="28"/>
        </w:rPr>
      </w:pPr>
    </w:p>
    <w:p w:rsidR="0038229B" w:rsidRDefault="0038229B" w:rsidP="0050633A">
      <w:pPr>
        <w:tabs>
          <w:tab w:val="clear" w:pos="284"/>
        </w:tabs>
        <w:rPr>
          <w:sz w:val="28"/>
          <w:szCs w:val="28"/>
        </w:rPr>
      </w:pPr>
    </w:p>
    <w:p w:rsidR="0038229B" w:rsidRDefault="0038229B" w:rsidP="0050633A">
      <w:pPr>
        <w:tabs>
          <w:tab w:val="clear" w:pos="284"/>
        </w:tabs>
        <w:rPr>
          <w:sz w:val="28"/>
          <w:szCs w:val="28"/>
        </w:rPr>
      </w:pPr>
    </w:p>
    <w:p w:rsidR="0038229B" w:rsidRDefault="0038229B" w:rsidP="0050633A">
      <w:pPr>
        <w:tabs>
          <w:tab w:val="clear" w:pos="284"/>
        </w:tabs>
        <w:rPr>
          <w:sz w:val="28"/>
          <w:szCs w:val="28"/>
        </w:rPr>
      </w:pPr>
    </w:p>
    <w:p w:rsidR="0038229B" w:rsidRDefault="0038229B" w:rsidP="0050633A">
      <w:pPr>
        <w:tabs>
          <w:tab w:val="clear" w:pos="284"/>
        </w:tabs>
        <w:rPr>
          <w:sz w:val="28"/>
          <w:szCs w:val="28"/>
        </w:rPr>
      </w:pPr>
    </w:p>
    <w:p w:rsidR="0038229B" w:rsidRDefault="0038229B" w:rsidP="0050633A">
      <w:pPr>
        <w:tabs>
          <w:tab w:val="clear" w:pos="284"/>
        </w:tabs>
        <w:rPr>
          <w:sz w:val="28"/>
          <w:szCs w:val="28"/>
        </w:rPr>
      </w:pPr>
    </w:p>
    <w:p w:rsidR="0038229B" w:rsidRPr="0038229B" w:rsidRDefault="0038229B" w:rsidP="0050633A">
      <w:pPr>
        <w:tabs>
          <w:tab w:val="clear" w:pos="284"/>
        </w:tabs>
        <w:rPr>
          <w:sz w:val="28"/>
          <w:szCs w:val="28"/>
        </w:rPr>
      </w:pPr>
    </w:p>
    <w:p w:rsidR="00D7391E" w:rsidRPr="0038229B" w:rsidRDefault="00D7391E" w:rsidP="0050633A">
      <w:pPr>
        <w:tabs>
          <w:tab w:val="clear" w:pos="284"/>
        </w:tabs>
        <w:rPr>
          <w:sz w:val="28"/>
          <w:szCs w:val="28"/>
        </w:rPr>
      </w:pPr>
    </w:p>
    <w:p w:rsidR="00D7391E" w:rsidRPr="0038229B" w:rsidRDefault="00D7391E" w:rsidP="0050633A">
      <w:pPr>
        <w:tabs>
          <w:tab w:val="clear" w:pos="284"/>
        </w:tabs>
        <w:rPr>
          <w:sz w:val="28"/>
          <w:szCs w:val="28"/>
        </w:rPr>
      </w:pPr>
      <w:r w:rsidRPr="0038229B">
        <w:rPr>
          <w:sz w:val="28"/>
          <w:szCs w:val="28"/>
        </w:rPr>
        <w:lastRenderedPageBreak/>
        <w:t>Fru talman,</w:t>
      </w:r>
    </w:p>
    <w:p w:rsidR="00D7391E" w:rsidRPr="0038229B" w:rsidRDefault="00D7391E" w:rsidP="0050633A">
      <w:pPr>
        <w:tabs>
          <w:tab w:val="clear" w:pos="284"/>
        </w:tabs>
        <w:rPr>
          <w:sz w:val="28"/>
          <w:szCs w:val="28"/>
        </w:rPr>
      </w:pPr>
    </w:p>
    <w:p w:rsidR="00D7391E" w:rsidRPr="0038229B" w:rsidRDefault="00D7391E" w:rsidP="0050633A">
      <w:pPr>
        <w:tabs>
          <w:tab w:val="clear" w:pos="284"/>
        </w:tabs>
        <w:rPr>
          <w:sz w:val="28"/>
          <w:szCs w:val="28"/>
        </w:rPr>
      </w:pPr>
      <w:r w:rsidRPr="0038229B">
        <w:rPr>
          <w:sz w:val="28"/>
          <w:szCs w:val="28"/>
        </w:rPr>
        <w:t xml:space="preserve">Moderaterna kommer alltid att värna om kommunernas och regionernas möjlighet att utföra sitt uppdrag. </w:t>
      </w:r>
      <w:r w:rsidR="00C85DEB" w:rsidRPr="0038229B">
        <w:rPr>
          <w:sz w:val="28"/>
          <w:szCs w:val="28"/>
        </w:rPr>
        <w:t xml:space="preserve">Detta </w:t>
      </w:r>
      <w:r w:rsidRPr="0038229B">
        <w:rPr>
          <w:sz w:val="28"/>
          <w:szCs w:val="28"/>
        </w:rPr>
        <w:t>kommer också att kräva ökade resurser från staten och det måste prioriteras upp i statens budget.</w:t>
      </w:r>
    </w:p>
    <w:p w:rsidR="00D7391E" w:rsidRPr="0038229B" w:rsidRDefault="00D7391E" w:rsidP="0050633A">
      <w:pPr>
        <w:tabs>
          <w:tab w:val="clear" w:pos="284"/>
        </w:tabs>
        <w:rPr>
          <w:sz w:val="28"/>
          <w:szCs w:val="28"/>
        </w:rPr>
      </w:pPr>
    </w:p>
    <w:p w:rsidR="00E129FA" w:rsidRPr="0038229B" w:rsidRDefault="00D7391E" w:rsidP="00E129FA">
      <w:pPr>
        <w:tabs>
          <w:tab w:val="clear" w:pos="284"/>
        </w:tabs>
        <w:rPr>
          <w:sz w:val="28"/>
          <w:szCs w:val="28"/>
        </w:rPr>
      </w:pPr>
      <w:r w:rsidRPr="0038229B">
        <w:rPr>
          <w:sz w:val="28"/>
          <w:szCs w:val="28"/>
        </w:rPr>
        <w:t xml:space="preserve">Redan i början av detta år drev vi moderater tillsammans med andra partier igenom mer resurser till kommunerna än vad regeringen var villig att tillföra. </w:t>
      </w:r>
      <w:r w:rsidR="00E129FA">
        <w:rPr>
          <w:sz w:val="28"/>
          <w:szCs w:val="28"/>
        </w:rPr>
        <w:t>Dessa 7,5 extra miljarder har kommit väl till pass under pandemin.</w:t>
      </w:r>
    </w:p>
    <w:p w:rsidR="009C166D" w:rsidRPr="0038229B" w:rsidRDefault="009C166D" w:rsidP="0050633A">
      <w:pPr>
        <w:tabs>
          <w:tab w:val="clear" w:pos="284"/>
        </w:tabs>
        <w:rPr>
          <w:sz w:val="28"/>
          <w:szCs w:val="28"/>
        </w:rPr>
      </w:pPr>
    </w:p>
    <w:p w:rsidR="009C166D" w:rsidRPr="0038229B" w:rsidRDefault="00D7391E" w:rsidP="0050633A">
      <w:pPr>
        <w:tabs>
          <w:tab w:val="clear" w:pos="284"/>
        </w:tabs>
        <w:rPr>
          <w:sz w:val="28"/>
          <w:szCs w:val="28"/>
        </w:rPr>
      </w:pPr>
      <w:r w:rsidRPr="0038229B">
        <w:rPr>
          <w:sz w:val="28"/>
          <w:szCs w:val="28"/>
        </w:rPr>
        <w:t xml:space="preserve">Även under pandemin har vi drivit på för extra stöd till kommuner och regioner. </w:t>
      </w:r>
      <w:r w:rsidR="00C85DEB" w:rsidRPr="0038229B">
        <w:rPr>
          <w:sz w:val="28"/>
          <w:szCs w:val="28"/>
        </w:rPr>
        <w:t>I</w:t>
      </w:r>
      <w:r w:rsidRPr="0038229B">
        <w:rPr>
          <w:sz w:val="28"/>
          <w:szCs w:val="28"/>
        </w:rPr>
        <w:t xml:space="preserve"> vår budget för kommande år ger vi också betydligt större statsbidrag till kommunerna än vad regeringen och dess stödpartier aviserar i sin budget. </w:t>
      </w:r>
      <w:r w:rsidR="00E129FA">
        <w:rPr>
          <w:sz w:val="28"/>
          <w:szCs w:val="28"/>
        </w:rPr>
        <w:t xml:space="preserve">För 2021 handlar det om 3,5 miljarder, för 2022 8,5 miljarder och för 2023 13,5 miljarder mer än regeringen och samarbetspartierna tillför i sin gemensamma budget. </w:t>
      </w:r>
      <w:proofErr w:type="spellStart"/>
      <w:r w:rsidR="009C166D" w:rsidRPr="0038229B">
        <w:rPr>
          <w:sz w:val="28"/>
          <w:szCs w:val="28"/>
        </w:rPr>
        <w:t xml:space="preserve">Mer </w:t>
      </w:r>
      <w:proofErr w:type="spellEnd"/>
      <w:r w:rsidR="009C166D" w:rsidRPr="0038229B">
        <w:rPr>
          <w:sz w:val="28"/>
          <w:szCs w:val="28"/>
        </w:rPr>
        <w:t>om detta i nästa veckas debatt.</w:t>
      </w:r>
      <w:r w:rsidRPr="0038229B">
        <w:rPr>
          <w:sz w:val="28"/>
          <w:szCs w:val="28"/>
        </w:rPr>
        <w:t xml:space="preserve"> </w:t>
      </w:r>
    </w:p>
    <w:p w:rsidR="009C166D" w:rsidRPr="0038229B" w:rsidRDefault="009C166D" w:rsidP="0050633A">
      <w:pPr>
        <w:tabs>
          <w:tab w:val="clear" w:pos="284"/>
        </w:tabs>
        <w:rPr>
          <w:sz w:val="28"/>
          <w:szCs w:val="28"/>
        </w:rPr>
      </w:pPr>
    </w:p>
    <w:p w:rsidR="009C166D" w:rsidRPr="0038229B" w:rsidRDefault="009C166D" w:rsidP="0050633A">
      <w:pPr>
        <w:tabs>
          <w:tab w:val="clear" w:pos="284"/>
        </w:tabs>
        <w:rPr>
          <w:sz w:val="28"/>
          <w:szCs w:val="28"/>
        </w:rPr>
      </w:pPr>
    </w:p>
    <w:p w:rsidR="00D7391E" w:rsidRPr="0038229B" w:rsidRDefault="00D7391E" w:rsidP="00D7391E">
      <w:pPr>
        <w:tabs>
          <w:tab w:val="clear" w:pos="284"/>
        </w:tabs>
        <w:rPr>
          <w:sz w:val="28"/>
          <w:szCs w:val="28"/>
        </w:rPr>
      </w:pPr>
      <w:r w:rsidRPr="0038229B">
        <w:rPr>
          <w:sz w:val="28"/>
          <w:szCs w:val="28"/>
        </w:rPr>
        <w:t>Fru talman,</w:t>
      </w:r>
    </w:p>
    <w:p w:rsidR="00D7391E" w:rsidRPr="0038229B" w:rsidRDefault="00D7391E" w:rsidP="0050633A">
      <w:pPr>
        <w:tabs>
          <w:tab w:val="clear" w:pos="284"/>
        </w:tabs>
        <w:rPr>
          <w:sz w:val="28"/>
          <w:szCs w:val="28"/>
        </w:rPr>
      </w:pPr>
    </w:p>
    <w:p w:rsidR="00003327" w:rsidRPr="0038229B" w:rsidRDefault="00764D92" w:rsidP="0050633A">
      <w:pPr>
        <w:tabs>
          <w:tab w:val="clear" w:pos="284"/>
        </w:tabs>
        <w:rPr>
          <w:sz w:val="28"/>
          <w:szCs w:val="28"/>
        </w:rPr>
      </w:pPr>
      <w:r w:rsidRPr="0038229B">
        <w:rPr>
          <w:sz w:val="28"/>
          <w:szCs w:val="28"/>
        </w:rPr>
        <w:t xml:space="preserve">Sverige är samtidigt ett till ytan stort land med mycket varierande förutsättningar. Det gäller även våra kommuner, som ser helt olika ut. I dag skiljer exempelvis kommunalskatten upp till sex kronor per hundralapp mellan den kommun med lägst skatt och den med högst. </w:t>
      </w:r>
    </w:p>
    <w:p w:rsidR="00025122" w:rsidRPr="0038229B" w:rsidRDefault="00025122" w:rsidP="0050633A">
      <w:pPr>
        <w:tabs>
          <w:tab w:val="clear" w:pos="284"/>
        </w:tabs>
        <w:rPr>
          <w:sz w:val="28"/>
          <w:szCs w:val="28"/>
        </w:rPr>
      </w:pPr>
    </w:p>
    <w:p w:rsidR="00F7311E" w:rsidRPr="0038229B" w:rsidRDefault="00F7311E" w:rsidP="0050633A">
      <w:pPr>
        <w:tabs>
          <w:tab w:val="clear" w:pos="284"/>
        </w:tabs>
        <w:rPr>
          <w:sz w:val="28"/>
          <w:szCs w:val="28"/>
        </w:rPr>
      </w:pPr>
      <w:r w:rsidRPr="0038229B">
        <w:rPr>
          <w:sz w:val="28"/>
          <w:szCs w:val="28"/>
        </w:rPr>
        <w:t>Att det sker viss omfördelning av resurser mellan kommunerna är högst rimligt. Det viktiga är att detta görs på ett sätt som skapar förtroende och legitimitet både hos de kommuner som bidrar till utjämningssystemet och de som gynnas av detta</w:t>
      </w:r>
      <w:r w:rsidR="000E565A" w:rsidRPr="0038229B">
        <w:rPr>
          <w:sz w:val="28"/>
          <w:szCs w:val="28"/>
        </w:rPr>
        <w:t>, och att effekterna av utjämningssystemen inte slår mot landets samlade tillväxt.</w:t>
      </w:r>
    </w:p>
    <w:p w:rsidR="009C166D" w:rsidRPr="0038229B" w:rsidRDefault="009C166D" w:rsidP="0050633A">
      <w:pPr>
        <w:tabs>
          <w:tab w:val="clear" w:pos="284"/>
        </w:tabs>
        <w:rPr>
          <w:sz w:val="28"/>
          <w:szCs w:val="28"/>
        </w:rPr>
      </w:pPr>
    </w:p>
    <w:p w:rsidR="00025122" w:rsidRPr="0038229B" w:rsidRDefault="00025122" w:rsidP="005C134E">
      <w:pPr>
        <w:rPr>
          <w:sz w:val="28"/>
          <w:szCs w:val="28"/>
        </w:rPr>
      </w:pPr>
      <w:r w:rsidRPr="0038229B">
        <w:rPr>
          <w:sz w:val="28"/>
          <w:szCs w:val="28"/>
        </w:rPr>
        <w:t xml:space="preserve">Riksrevisionen har nu alltså granskat om det finns tillväxthämmande incitament i den kommunala inkomstutjämningen. Det visade sig vara lättare sagt än gjort – det är svårt att isolera effekterna från just skatteutjämningen från andra faktorer som påverkar tillväxt och skatteintäkter i enskilda kommuner. </w:t>
      </w:r>
    </w:p>
    <w:p w:rsidR="00025122" w:rsidRPr="0038229B" w:rsidRDefault="00025122" w:rsidP="005C134E">
      <w:pPr>
        <w:rPr>
          <w:sz w:val="28"/>
          <w:szCs w:val="28"/>
        </w:rPr>
      </w:pPr>
    </w:p>
    <w:p w:rsidR="00764D92" w:rsidRPr="0038229B" w:rsidRDefault="00764D92" w:rsidP="005C134E">
      <w:pPr>
        <w:rPr>
          <w:sz w:val="28"/>
          <w:szCs w:val="28"/>
        </w:rPr>
      </w:pPr>
      <w:r w:rsidRPr="0038229B">
        <w:rPr>
          <w:sz w:val="28"/>
          <w:szCs w:val="28"/>
        </w:rPr>
        <w:t>Riksrevisionen beskriver dock att det länge funnits en oro för att inkomstutjämningen påverkar kommunernas incitament negativt, och att internationell forskning bekräftar oron, samt att den ekonomiska teorin är tydlig med att det finns en risk för sådana negativa bieffekter.</w:t>
      </w:r>
    </w:p>
    <w:p w:rsidR="00764D92" w:rsidRPr="0038229B" w:rsidRDefault="00764D92" w:rsidP="005C134E">
      <w:pPr>
        <w:rPr>
          <w:sz w:val="28"/>
          <w:szCs w:val="28"/>
        </w:rPr>
      </w:pPr>
    </w:p>
    <w:p w:rsidR="00764D92" w:rsidRDefault="00764D92" w:rsidP="005C134E">
      <w:pPr>
        <w:rPr>
          <w:sz w:val="28"/>
          <w:szCs w:val="28"/>
        </w:rPr>
      </w:pPr>
    </w:p>
    <w:p w:rsidR="0038229B" w:rsidRDefault="0038229B" w:rsidP="005C134E">
      <w:pPr>
        <w:rPr>
          <w:sz w:val="28"/>
          <w:szCs w:val="28"/>
        </w:rPr>
      </w:pPr>
    </w:p>
    <w:p w:rsidR="0038229B" w:rsidRDefault="0038229B" w:rsidP="005C134E">
      <w:pPr>
        <w:rPr>
          <w:sz w:val="28"/>
          <w:szCs w:val="28"/>
        </w:rPr>
      </w:pPr>
    </w:p>
    <w:p w:rsidR="00BB5B41" w:rsidRPr="0038229B" w:rsidRDefault="00BB5B41" w:rsidP="005C134E">
      <w:pPr>
        <w:rPr>
          <w:sz w:val="28"/>
          <w:szCs w:val="28"/>
        </w:rPr>
      </w:pPr>
      <w:bookmarkStart w:id="0" w:name="_GoBack"/>
      <w:bookmarkEnd w:id="0"/>
      <w:r w:rsidRPr="0038229B">
        <w:rPr>
          <w:sz w:val="28"/>
          <w:szCs w:val="28"/>
        </w:rPr>
        <w:t xml:space="preserve">Fru talman, </w:t>
      </w:r>
    </w:p>
    <w:p w:rsidR="00BB5B41" w:rsidRPr="0038229B" w:rsidRDefault="00BB5B41" w:rsidP="005C134E">
      <w:pPr>
        <w:rPr>
          <w:sz w:val="28"/>
          <w:szCs w:val="28"/>
        </w:rPr>
      </w:pPr>
    </w:p>
    <w:p w:rsidR="00BB5B41" w:rsidRPr="0038229B" w:rsidRDefault="00BB5B41" w:rsidP="00BB5B41">
      <w:pPr>
        <w:tabs>
          <w:tab w:val="clear" w:pos="284"/>
        </w:tabs>
        <w:rPr>
          <w:color w:val="333333"/>
          <w:sz w:val="28"/>
          <w:szCs w:val="28"/>
        </w:rPr>
      </w:pPr>
      <w:r w:rsidRPr="0038229B">
        <w:rPr>
          <w:color w:val="333333"/>
          <w:sz w:val="28"/>
          <w:szCs w:val="28"/>
        </w:rPr>
        <w:t xml:space="preserve">Det kommunala utjämningssystemet har ändrats många gånger genom åren. Riksdagen har tagit beslut om förändring av både inkomstutjämningen som är den stora delen, och kostnadsutjämningen som utgör en mindre del. </w:t>
      </w:r>
    </w:p>
    <w:p w:rsidR="00BB5B41" w:rsidRPr="0038229B" w:rsidRDefault="00BB5B41" w:rsidP="005C134E">
      <w:pPr>
        <w:rPr>
          <w:sz w:val="28"/>
          <w:szCs w:val="28"/>
        </w:rPr>
      </w:pPr>
    </w:p>
    <w:p w:rsidR="00BB5B41" w:rsidRPr="0038229B" w:rsidRDefault="00BB5B41" w:rsidP="00BB5B41">
      <w:pPr>
        <w:tabs>
          <w:tab w:val="clear" w:pos="284"/>
        </w:tabs>
        <w:rPr>
          <w:color w:val="333333"/>
          <w:sz w:val="28"/>
          <w:szCs w:val="28"/>
        </w:rPr>
      </w:pPr>
      <w:r w:rsidRPr="0038229B">
        <w:rPr>
          <w:color w:val="333333"/>
          <w:sz w:val="28"/>
          <w:szCs w:val="28"/>
        </w:rPr>
        <w:t xml:space="preserve">Vid varje förändring i systemen har vi från moderat sida verkat för balanserade förändringar som gör det möjligt för mottagande kommuner att fungera utan att missgynna tillväxtkommunerna alltför mycket. Utjämningssystemet får inte heller ge oönskade marginaleffekter för kommuner som lyckas få människor från bidrag till arbete. </w:t>
      </w:r>
      <w:r w:rsidR="00764D92" w:rsidRPr="0038229B">
        <w:rPr>
          <w:color w:val="333333"/>
          <w:sz w:val="28"/>
          <w:szCs w:val="28"/>
        </w:rPr>
        <w:t>Och självklart får inte systemet påverka den samlade svenska tillväxten negativt.</w:t>
      </w:r>
    </w:p>
    <w:p w:rsidR="00BB5B41" w:rsidRPr="0038229B" w:rsidRDefault="00BB5B41" w:rsidP="00BB5B41">
      <w:pPr>
        <w:tabs>
          <w:tab w:val="clear" w:pos="284"/>
        </w:tabs>
        <w:rPr>
          <w:color w:val="333333"/>
          <w:sz w:val="28"/>
          <w:szCs w:val="28"/>
        </w:rPr>
      </w:pPr>
    </w:p>
    <w:p w:rsidR="00BB5B41" w:rsidRPr="0038229B" w:rsidRDefault="00BB5B41" w:rsidP="00BB5B41">
      <w:pPr>
        <w:rPr>
          <w:sz w:val="28"/>
          <w:szCs w:val="28"/>
        </w:rPr>
      </w:pPr>
      <w:r w:rsidRPr="0038229B">
        <w:rPr>
          <w:sz w:val="28"/>
          <w:szCs w:val="28"/>
        </w:rPr>
        <w:t xml:space="preserve">Vi moderater har också verkat för att förändringar i systemen inte ska vara alltför snabba och dramatiska och att alla berörda kommuner måste ha en rimlig möjlighet att planera sin verksamhet. </w:t>
      </w:r>
    </w:p>
    <w:p w:rsidR="00BB5B41" w:rsidRPr="0038229B" w:rsidRDefault="00BB5B41" w:rsidP="00BB5B41">
      <w:pPr>
        <w:rPr>
          <w:sz w:val="28"/>
          <w:szCs w:val="28"/>
        </w:rPr>
      </w:pPr>
    </w:p>
    <w:p w:rsidR="00BB5B41" w:rsidRPr="0038229B" w:rsidRDefault="00BB5B41" w:rsidP="00BB5B41">
      <w:pPr>
        <w:rPr>
          <w:sz w:val="28"/>
          <w:szCs w:val="28"/>
        </w:rPr>
      </w:pPr>
      <w:r w:rsidRPr="0038229B">
        <w:rPr>
          <w:sz w:val="28"/>
          <w:szCs w:val="28"/>
        </w:rPr>
        <w:t>Moderaterna har också under flera år ansett att det är dags att ta ett helhetsgrepp på utjämningssystemet. Senast vid debatten förra året vid den här tiden framförde jag detta moderata krav i debatten. Utjämningssystemet är en helhet och har oerhört stor ekonomisk betydelse för både bidragande och mottagande kommuner, och det är nu tolv år sedan Alliansregeringen gjorde en grundlig översyn av</w:t>
      </w:r>
      <w:r w:rsidR="00764D92" w:rsidRPr="0038229B">
        <w:rPr>
          <w:sz w:val="28"/>
          <w:szCs w:val="28"/>
        </w:rPr>
        <w:t xml:space="preserve"> hela</w:t>
      </w:r>
      <w:r w:rsidRPr="0038229B">
        <w:rPr>
          <w:sz w:val="28"/>
          <w:szCs w:val="28"/>
        </w:rPr>
        <w:t xml:space="preserve"> utjämningssystemet. </w:t>
      </w:r>
    </w:p>
    <w:p w:rsidR="00BB5B41" w:rsidRPr="0038229B" w:rsidRDefault="00BB5B41" w:rsidP="005C134E">
      <w:pPr>
        <w:rPr>
          <w:sz w:val="28"/>
          <w:szCs w:val="28"/>
        </w:rPr>
      </w:pPr>
      <w:r w:rsidRPr="0038229B">
        <w:rPr>
          <w:sz w:val="28"/>
          <w:szCs w:val="28"/>
        </w:rPr>
        <w:t>I en följdmotion till regeringens skrivelse som svar på Riksrevisionens granskning föreslog vi moderater att regeringen snarast ska tillsätta en översyn av hela det kommunala utjämningssystemet som särskilt beaktar systemets inverkan på kommuner och regioner som växer och effekten på tillväxten i Sverige.</w:t>
      </w:r>
    </w:p>
    <w:p w:rsidR="00BB5B41" w:rsidRPr="0038229B" w:rsidRDefault="00BB5B41" w:rsidP="005C134E">
      <w:pPr>
        <w:rPr>
          <w:sz w:val="28"/>
          <w:szCs w:val="28"/>
        </w:rPr>
      </w:pPr>
    </w:p>
    <w:p w:rsidR="00BB5B41" w:rsidRPr="0038229B" w:rsidRDefault="00BB5B41" w:rsidP="005C134E">
      <w:pPr>
        <w:rPr>
          <w:sz w:val="28"/>
          <w:szCs w:val="28"/>
        </w:rPr>
      </w:pPr>
      <w:r w:rsidRPr="0038229B">
        <w:rPr>
          <w:sz w:val="28"/>
          <w:szCs w:val="28"/>
        </w:rPr>
        <w:t xml:space="preserve">Efter diskussioner i utskottet konstaterar vi att nu ett enigt finansutskott står bakom att ge regeringen </w:t>
      </w:r>
      <w:r w:rsidR="0076234A" w:rsidRPr="0038229B">
        <w:rPr>
          <w:sz w:val="28"/>
          <w:szCs w:val="28"/>
        </w:rPr>
        <w:t xml:space="preserve">ett sådant uppdrag. Alltså att </w:t>
      </w:r>
      <w:r w:rsidRPr="0038229B">
        <w:rPr>
          <w:sz w:val="28"/>
          <w:szCs w:val="28"/>
        </w:rPr>
        <w:t xml:space="preserve">göra en sådan översyn med fokus på utveckling, tillväxt och likvärdig service i hela landet. </w:t>
      </w:r>
      <w:r w:rsidR="00764D92" w:rsidRPr="0038229B">
        <w:rPr>
          <w:sz w:val="28"/>
          <w:szCs w:val="28"/>
        </w:rPr>
        <w:t>Det är mycket glädjande</w:t>
      </w:r>
      <w:r w:rsidR="0076234A" w:rsidRPr="0038229B">
        <w:rPr>
          <w:sz w:val="28"/>
          <w:szCs w:val="28"/>
        </w:rPr>
        <w:t xml:space="preserve"> att utskottet går på denna linje.</w:t>
      </w:r>
    </w:p>
    <w:p w:rsidR="00764D92" w:rsidRPr="0038229B" w:rsidRDefault="00764D92" w:rsidP="005C134E">
      <w:pPr>
        <w:rPr>
          <w:sz w:val="28"/>
          <w:szCs w:val="28"/>
        </w:rPr>
      </w:pPr>
    </w:p>
    <w:p w:rsidR="00764D92" w:rsidRPr="0038229B" w:rsidRDefault="00764D92" w:rsidP="005C134E">
      <w:pPr>
        <w:rPr>
          <w:sz w:val="28"/>
          <w:szCs w:val="28"/>
        </w:rPr>
      </w:pPr>
      <w:r w:rsidRPr="0038229B">
        <w:rPr>
          <w:sz w:val="28"/>
          <w:szCs w:val="28"/>
        </w:rPr>
        <w:t xml:space="preserve">Från moderat sida </w:t>
      </w:r>
      <w:r w:rsidR="0076234A" w:rsidRPr="0038229B">
        <w:rPr>
          <w:sz w:val="28"/>
          <w:szCs w:val="28"/>
        </w:rPr>
        <w:t>ser vi samtidigt med stor oro på utvecklingen i kommunerna och regionerna de kommande åren. Vi menar att staten gradvis bör ta ett större ansvar för att säkerställa goda förutsättningar för välfärdens finansiering. Det är ett av skälen till att vi moderater satsar mer pengar på kommunsektorn än regeringen och samarbetspartierna i budgeten för kommande år. Men vi menar också att det vid en översyn av utjämningssystemet bör prövas om staten ska ta ett helhetsansvar för utjämningen.</w:t>
      </w:r>
      <w:r w:rsidRPr="0038229B">
        <w:rPr>
          <w:sz w:val="28"/>
          <w:szCs w:val="28"/>
        </w:rPr>
        <w:t xml:space="preserve"> </w:t>
      </w:r>
    </w:p>
    <w:sectPr w:rsidR="00764D92" w:rsidRPr="00382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27A00"/>
    <w:multiLevelType w:val="hybridMultilevel"/>
    <w:tmpl w:val="3DAA306C"/>
    <w:lvl w:ilvl="0" w:tplc="87820BC0">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083136"/>
    <w:multiLevelType w:val="hybridMultilevel"/>
    <w:tmpl w:val="29FE4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D066F8"/>
    <w:multiLevelType w:val="hybridMultilevel"/>
    <w:tmpl w:val="95660D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AE1FA3"/>
    <w:multiLevelType w:val="hybridMultilevel"/>
    <w:tmpl w:val="5944E53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33A"/>
    <w:rsid w:val="00003327"/>
    <w:rsid w:val="00025122"/>
    <w:rsid w:val="0006043F"/>
    <w:rsid w:val="00072835"/>
    <w:rsid w:val="000742AB"/>
    <w:rsid w:val="00094A50"/>
    <w:rsid w:val="000B36BC"/>
    <w:rsid w:val="000E565A"/>
    <w:rsid w:val="000F758D"/>
    <w:rsid w:val="00142E09"/>
    <w:rsid w:val="001D2070"/>
    <w:rsid w:val="001F6224"/>
    <w:rsid w:val="00207659"/>
    <w:rsid w:val="00215D0C"/>
    <w:rsid w:val="0022738A"/>
    <w:rsid w:val="0025011B"/>
    <w:rsid w:val="00257689"/>
    <w:rsid w:val="002709B2"/>
    <w:rsid w:val="0028015F"/>
    <w:rsid w:val="00280BC7"/>
    <w:rsid w:val="002B7046"/>
    <w:rsid w:val="002D6A02"/>
    <w:rsid w:val="002E5D46"/>
    <w:rsid w:val="00300880"/>
    <w:rsid w:val="00347EA4"/>
    <w:rsid w:val="0035046A"/>
    <w:rsid w:val="00365518"/>
    <w:rsid w:val="00365B8D"/>
    <w:rsid w:val="0038229B"/>
    <w:rsid w:val="00386CC5"/>
    <w:rsid w:val="004645DD"/>
    <w:rsid w:val="00484626"/>
    <w:rsid w:val="00490682"/>
    <w:rsid w:val="00493624"/>
    <w:rsid w:val="004F7DD3"/>
    <w:rsid w:val="0050633A"/>
    <w:rsid w:val="0052178D"/>
    <w:rsid w:val="00521BD9"/>
    <w:rsid w:val="005315D0"/>
    <w:rsid w:val="00561B22"/>
    <w:rsid w:val="00585C22"/>
    <w:rsid w:val="005929DE"/>
    <w:rsid w:val="005B5BA1"/>
    <w:rsid w:val="005C134E"/>
    <w:rsid w:val="005C6F37"/>
    <w:rsid w:val="00604FB3"/>
    <w:rsid w:val="006150E3"/>
    <w:rsid w:val="00620B7A"/>
    <w:rsid w:val="006D3AF9"/>
    <w:rsid w:val="00712851"/>
    <w:rsid w:val="007149F6"/>
    <w:rsid w:val="00760889"/>
    <w:rsid w:val="0076234A"/>
    <w:rsid w:val="00764D92"/>
    <w:rsid w:val="00795CD8"/>
    <w:rsid w:val="007B6A85"/>
    <w:rsid w:val="007D77E3"/>
    <w:rsid w:val="00844E10"/>
    <w:rsid w:val="00865066"/>
    <w:rsid w:val="00874A67"/>
    <w:rsid w:val="008D3BE8"/>
    <w:rsid w:val="008F5C48"/>
    <w:rsid w:val="00916B50"/>
    <w:rsid w:val="0092026A"/>
    <w:rsid w:val="00925EF5"/>
    <w:rsid w:val="00974C6F"/>
    <w:rsid w:val="00980BA4"/>
    <w:rsid w:val="009855B9"/>
    <w:rsid w:val="009C166D"/>
    <w:rsid w:val="00A12034"/>
    <w:rsid w:val="00A26070"/>
    <w:rsid w:val="00A2634F"/>
    <w:rsid w:val="00A37376"/>
    <w:rsid w:val="00A63EF0"/>
    <w:rsid w:val="00A725F3"/>
    <w:rsid w:val="00AA7D3C"/>
    <w:rsid w:val="00B026D0"/>
    <w:rsid w:val="00B37D47"/>
    <w:rsid w:val="00B87838"/>
    <w:rsid w:val="00B915DD"/>
    <w:rsid w:val="00B9407D"/>
    <w:rsid w:val="00BB5B41"/>
    <w:rsid w:val="00BC4397"/>
    <w:rsid w:val="00BE6576"/>
    <w:rsid w:val="00BE7457"/>
    <w:rsid w:val="00C57308"/>
    <w:rsid w:val="00C57794"/>
    <w:rsid w:val="00C83A64"/>
    <w:rsid w:val="00C85DEB"/>
    <w:rsid w:val="00CC5159"/>
    <w:rsid w:val="00CD0BD7"/>
    <w:rsid w:val="00D16035"/>
    <w:rsid w:val="00D66118"/>
    <w:rsid w:val="00D7391E"/>
    <w:rsid w:val="00D8468E"/>
    <w:rsid w:val="00DE3D8E"/>
    <w:rsid w:val="00E129FA"/>
    <w:rsid w:val="00E347D8"/>
    <w:rsid w:val="00E566F4"/>
    <w:rsid w:val="00EA761E"/>
    <w:rsid w:val="00ED493B"/>
    <w:rsid w:val="00F063C4"/>
    <w:rsid w:val="00F25ABB"/>
    <w:rsid w:val="00F66E5F"/>
    <w:rsid w:val="00F71A08"/>
    <w:rsid w:val="00F7311E"/>
    <w:rsid w:val="00FA03BF"/>
    <w:rsid w:val="00FC7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CBDC"/>
  <w15:chartTrackingRefBased/>
  <w15:docId w15:val="{71ABEF9E-10A1-4990-8C82-67D5EAA7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unhideWhenUsed/>
    <w:rsid w:val="0050633A"/>
    <w:pPr>
      <w:tabs>
        <w:tab w:val="clear" w:pos="284"/>
      </w:tabs>
      <w:spacing w:before="100" w:beforeAutospacing="1" w:after="100" w:afterAutospacing="1"/>
    </w:pPr>
    <w:rPr>
      <w:sz w:val="24"/>
      <w:szCs w:val="24"/>
    </w:rPr>
  </w:style>
  <w:style w:type="paragraph" w:customStyle="1" w:styleId="Default">
    <w:name w:val="Default"/>
    <w:rsid w:val="0050633A"/>
    <w:pPr>
      <w:autoSpaceDE w:val="0"/>
      <w:autoSpaceDN w:val="0"/>
      <w:adjustRightInd w:val="0"/>
    </w:pPr>
    <w:rPr>
      <w:rFonts w:ascii="Times New Roman" w:hAnsi="Times New Roman" w:cs="Times New Roman"/>
      <w:color w:val="000000"/>
      <w:sz w:val="24"/>
      <w:szCs w:val="24"/>
      <w:lang w:val="sv-SE"/>
    </w:rPr>
  </w:style>
  <w:style w:type="character" w:customStyle="1" w:styleId="NormalutanindragellerluftChar">
    <w:name w:val="Normal utan indrag eller luft Char"/>
    <w:basedOn w:val="Standardstycketeckensnitt"/>
    <w:link w:val="Normalutanindragellerluft"/>
    <w:locked/>
    <w:rsid w:val="005929DE"/>
    <w:rPr>
      <w:kern w:val="28"/>
      <w:lang w:val="sv-SE"/>
      <w14:numSpacing w14:val="proportional"/>
    </w:rPr>
  </w:style>
  <w:style w:type="paragraph" w:customStyle="1" w:styleId="Normalutanindragellerluft">
    <w:name w:val="Normal utan indrag eller luft"/>
    <w:next w:val="Normal"/>
    <w:link w:val="NormalutanindragellerluftChar"/>
    <w:qFormat/>
    <w:rsid w:val="005929DE"/>
    <w:pPr>
      <w:tabs>
        <w:tab w:val="left" w:pos="284"/>
        <w:tab w:val="left" w:pos="567"/>
        <w:tab w:val="left" w:pos="851"/>
        <w:tab w:val="left" w:pos="1134"/>
        <w:tab w:val="left" w:pos="1701"/>
        <w:tab w:val="left" w:pos="2268"/>
        <w:tab w:val="center" w:pos="4536"/>
        <w:tab w:val="right" w:pos="9072"/>
      </w:tabs>
      <w:spacing w:before="80" w:line="360" w:lineRule="auto"/>
    </w:pPr>
    <w:rPr>
      <w:kern w:val="28"/>
      <w:lang w:val="sv-SE"/>
      <w14:numSpacing w14:val="proportional"/>
    </w:rPr>
  </w:style>
  <w:style w:type="paragraph" w:styleId="Ballongtext">
    <w:name w:val="Balloon Text"/>
    <w:basedOn w:val="Normal"/>
    <w:link w:val="BallongtextChar"/>
    <w:uiPriority w:val="99"/>
    <w:semiHidden/>
    <w:unhideWhenUsed/>
    <w:rsid w:val="00E347D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347D8"/>
    <w:rPr>
      <w:rFonts w:ascii="Segoe UI" w:eastAsia="Times New Roman" w:hAnsi="Segoe UI" w:cs="Segoe UI"/>
      <w:sz w:val="18"/>
      <w:szCs w:val="18"/>
      <w:lang w:val="sv-SE" w:eastAsia="sv-SE"/>
    </w:rPr>
  </w:style>
  <w:style w:type="character" w:styleId="Hyperlnk">
    <w:name w:val="Hyperlink"/>
    <w:basedOn w:val="Standardstycketeckensnitt"/>
    <w:uiPriority w:val="99"/>
    <w:semiHidden/>
    <w:unhideWhenUsed/>
    <w:rsid w:val="005C134E"/>
    <w:rPr>
      <w:color w:val="0563C1" w:themeColor="hyperlink"/>
      <w:u w:val="single"/>
    </w:rPr>
  </w:style>
  <w:style w:type="character" w:styleId="Stark">
    <w:name w:val="Strong"/>
    <w:basedOn w:val="Standardstycketeckensnitt"/>
    <w:uiPriority w:val="22"/>
    <w:qFormat/>
    <w:rsid w:val="00604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7486">
      <w:bodyDiv w:val="1"/>
      <w:marLeft w:val="0"/>
      <w:marRight w:val="0"/>
      <w:marTop w:val="0"/>
      <w:marBottom w:val="0"/>
      <w:divBdr>
        <w:top w:val="none" w:sz="0" w:space="0" w:color="auto"/>
        <w:left w:val="none" w:sz="0" w:space="0" w:color="auto"/>
        <w:bottom w:val="none" w:sz="0" w:space="0" w:color="auto"/>
        <w:right w:val="none" w:sz="0" w:space="0" w:color="auto"/>
      </w:divBdr>
    </w:div>
    <w:div w:id="1241452361">
      <w:bodyDiv w:val="1"/>
      <w:marLeft w:val="0"/>
      <w:marRight w:val="0"/>
      <w:marTop w:val="0"/>
      <w:marBottom w:val="0"/>
      <w:divBdr>
        <w:top w:val="none" w:sz="0" w:space="0" w:color="auto"/>
        <w:left w:val="none" w:sz="0" w:space="0" w:color="auto"/>
        <w:bottom w:val="none" w:sz="0" w:space="0" w:color="auto"/>
        <w:right w:val="none" w:sz="0" w:space="0" w:color="auto"/>
      </w:divBdr>
    </w:div>
    <w:div w:id="2121146757">
      <w:bodyDiv w:val="1"/>
      <w:marLeft w:val="0"/>
      <w:marRight w:val="0"/>
      <w:marTop w:val="0"/>
      <w:marBottom w:val="0"/>
      <w:divBdr>
        <w:top w:val="none" w:sz="0" w:space="0" w:color="auto"/>
        <w:left w:val="none" w:sz="0" w:space="0" w:color="auto"/>
        <w:bottom w:val="none" w:sz="0" w:space="0" w:color="auto"/>
        <w:right w:val="none" w:sz="0" w:space="0" w:color="auto"/>
      </w:divBdr>
      <w:divsChild>
        <w:div w:id="291446419">
          <w:marLeft w:val="0"/>
          <w:marRight w:val="0"/>
          <w:marTop w:val="0"/>
          <w:marBottom w:val="0"/>
          <w:divBdr>
            <w:top w:val="none" w:sz="0" w:space="0" w:color="auto"/>
            <w:left w:val="none" w:sz="0" w:space="0" w:color="auto"/>
            <w:bottom w:val="none" w:sz="0" w:space="0" w:color="auto"/>
            <w:right w:val="none" w:sz="0" w:space="0" w:color="auto"/>
          </w:divBdr>
          <w:divsChild>
            <w:div w:id="1501896329">
              <w:marLeft w:val="0"/>
              <w:marRight w:val="0"/>
              <w:marTop w:val="0"/>
              <w:marBottom w:val="0"/>
              <w:divBdr>
                <w:top w:val="none" w:sz="0" w:space="0" w:color="auto"/>
                <w:left w:val="none" w:sz="0" w:space="0" w:color="auto"/>
                <w:bottom w:val="none" w:sz="0" w:space="0" w:color="auto"/>
                <w:right w:val="none" w:sz="0" w:space="0" w:color="auto"/>
              </w:divBdr>
              <w:divsChild>
                <w:div w:id="1954749704">
                  <w:marLeft w:val="0"/>
                  <w:marRight w:val="0"/>
                  <w:marTop w:val="0"/>
                  <w:marBottom w:val="0"/>
                  <w:divBdr>
                    <w:top w:val="none" w:sz="0" w:space="0" w:color="auto"/>
                    <w:left w:val="none" w:sz="0" w:space="0" w:color="auto"/>
                    <w:bottom w:val="none" w:sz="0" w:space="0" w:color="auto"/>
                    <w:right w:val="none" w:sz="0" w:space="0" w:color="auto"/>
                  </w:divBdr>
                  <w:divsChild>
                    <w:div w:id="651758986">
                      <w:marLeft w:val="0"/>
                      <w:marRight w:val="0"/>
                      <w:marTop w:val="0"/>
                      <w:marBottom w:val="0"/>
                      <w:divBdr>
                        <w:top w:val="none" w:sz="0" w:space="0" w:color="auto"/>
                        <w:left w:val="none" w:sz="0" w:space="0" w:color="auto"/>
                        <w:bottom w:val="none" w:sz="0" w:space="0" w:color="auto"/>
                        <w:right w:val="none" w:sz="0" w:space="0" w:color="auto"/>
                      </w:divBdr>
                      <w:divsChild>
                        <w:div w:id="6950507">
                          <w:marLeft w:val="0"/>
                          <w:marRight w:val="0"/>
                          <w:marTop w:val="0"/>
                          <w:marBottom w:val="0"/>
                          <w:divBdr>
                            <w:top w:val="none" w:sz="0" w:space="0" w:color="auto"/>
                            <w:left w:val="none" w:sz="0" w:space="0" w:color="auto"/>
                            <w:bottom w:val="none" w:sz="0" w:space="0" w:color="auto"/>
                            <w:right w:val="none" w:sz="0" w:space="0" w:color="auto"/>
                          </w:divBdr>
                          <w:divsChild>
                            <w:div w:id="12125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82832-1EC9-492D-8C0F-E4FD63DB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0</TotalTime>
  <Pages>3</Pages>
  <Words>873</Words>
  <Characters>4936</Characters>
  <Application>Microsoft Office Word</Application>
  <DocSecurity>0</DocSecurity>
  <Lines>129</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2020-12-10T09:47:00Z</cp:lastPrinted>
  <dcterms:created xsi:type="dcterms:W3CDTF">2020-12-10T13:21:00Z</dcterms:created>
  <dcterms:modified xsi:type="dcterms:W3CDTF">2020-12-10T13:21:00Z</dcterms:modified>
</cp:coreProperties>
</file>